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F85" w:rsidRPr="00545F85" w:rsidRDefault="00545F85" w:rsidP="00545F85">
      <w:pPr>
        <w:spacing w:line="240" w:lineRule="auto"/>
        <w:ind w:firstLine="0"/>
        <w:jc w:val="left"/>
        <w:rPr>
          <w:sz w:val="16"/>
          <w:szCs w:val="16"/>
        </w:rPr>
      </w:pPr>
    </w:p>
    <w:tbl>
      <w:tblPr>
        <w:tblW w:w="10207" w:type="dxa"/>
        <w:jc w:val="center"/>
        <w:tblLayout w:type="fixed"/>
        <w:tblCellMar>
          <w:left w:w="0" w:type="dxa"/>
          <w:right w:w="0" w:type="dxa"/>
        </w:tblCellMar>
        <w:tblLook w:val="0000" w:firstRow="0" w:lastRow="0" w:firstColumn="0" w:lastColumn="0" w:noHBand="0" w:noVBand="0"/>
      </w:tblPr>
      <w:tblGrid>
        <w:gridCol w:w="4253"/>
        <w:gridCol w:w="1701"/>
        <w:gridCol w:w="4253"/>
      </w:tblGrid>
      <w:tr w:rsidR="00545F85" w:rsidRPr="00545F85" w:rsidTr="000D75BF">
        <w:trPr>
          <w:cantSplit/>
          <w:trHeight w:hRule="exact" w:val="1920"/>
          <w:jc w:val="center"/>
        </w:trPr>
        <w:tc>
          <w:tcPr>
            <w:tcW w:w="4253" w:type="dxa"/>
          </w:tcPr>
          <w:sdt>
            <w:sdtPr>
              <w:rPr>
                <w:b/>
                <w:color w:val="FFFFFF" w:themeColor="background1"/>
                <w:sz w:val="22"/>
                <w:lang w:val="en-US"/>
              </w:rPr>
              <w:id w:val="1433708119"/>
              <w:lock w:val="sdtContentLocked"/>
              <w:placeholder>
                <w:docPart w:val="4B292A272EDF4D4086FACCF913FB236A"/>
              </w:placeholder>
              <w:group/>
            </w:sdtPr>
            <w:sdtEndPr/>
            <w:sdtContent>
              <w:p w:rsidR="00545F85" w:rsidRPr="00CF731B" w:rsidRDefault="00CF731B" w:rsidP="00545F85">
                <w:pPr>
                  <w:spacing w:line="240" w:lineRule="atLeast"/>
                  <w:ind w:left="0" w:firstLine="0"/>
                  <w:jc w:val="right"/>
                  <w:rPr>
                    <w:b/>
                    <w:color w:val="000000" w:themeColor="text1"/>
                    <w:sz w:val="22"/>
                    <w:lang w:val="en-US"/>
                  </w:rPr>
                </w:pPr>
                <w:r w:rsidRPr="00CF731B">
                  <w:rPr>
                    <w:b/>
                    <w:color w:val="FFFFFF" w:themeColor="background1"/>
                    <w:sz w:val="22"/>
                    <w:lang w:val="en-US"/>
                  </w:rPr>
                  <w:t>.</w:t>
                </w:r>
              </w:p>
            </w:sdtContent>
          </w:sdt>
        </w:tc>
        <w:tc>
          <w:tcPr>
            <w:tcW w:w="1701" w:type="dxa"/>
          </w:tcPr>
          <w:p w:rsidR="00545F85" w:rsidRPr="00205211" w:rsidRDefault="00545F85" w:rsidP="00545F85">
            <w:pPr>
              <w:spacing w:line="240" w:lineRule="atLeast"/>
              <w:ind w:left="0" w:firstLine="0"/>
              <w:jc w:val="center"/>
              <w:rPr>
                <w:b/>
                <w:color w:val="000000" w:themeColor="text1"/>
                <w:sz w:val="22"/>
                <w:lang w:val="en-US"/>
              </w:rPr>
            </w:pPr>
            <w:bookmarkStart w:id="0" w:name="_GoBack"/>
            <w:bookmarkEnd w:id="0"/>
          </w:p>
        </w:tc>
        <w:tc>
          <w:tcPr>
            <w:tcW w:w="4253" w:type="dxa"/>
          </w:tcPr>
          <w:p w:rsidR="00545F85" w:rsidRPr="009B462B" w:rsidRDefault="00545F85" w:rsidP="009B462B">
            <w:pPr>
              <w:pStyle w:val="a6"/>
            </w:pPr>
          </w:p>
        </w:tc>
      </w:tr>
      <w:tr w:rsidR="00545F85" w:rsidRPr="00545F85" w:rsidTr="000D75BF">
        <w:trPr>
          <w:trHeight w:hRule="exact" w:val="1940"/>
          <w:jc w:val="center"/>
        </w:trPr>
        <w:tc>
          <w:tcPr>
            <w:tcW w:w="10207" w:type="dxa"/>
            <w:gridSpan w:val="3"/>
          </w:tcPr>
          <w:sdt>
            <w:sdtPr>
              <w:rPr>
                <w:b/>
                <w:sz w:val="50"/>
              </w:rPr>
              <w:id w:val="-1238087236"/>
              <w:lock w:val="sdtContentLocked"/>
              <w:placeholder>
                <w:docPart w:val="4B292A272EDF4D4086FACCF913FB236A"/>
              </w:placeholder>
              <w:group/>
            </w:sdtPr>
            <w:sdtEndPr>
              <w:rPr>
                <w:rFonts w:ascii="Compact" w:hAnsi="Compact"/>
                <w:b w:val="0"/>
                <w:spacing w:val="30"/>
                <w:sz w:val="36"/>
              </w:rPr>
            </w:sdtEndPr>
            <w:sdtContent>
              <w:p w:rsidR="00545F85" w:rsidRPr="00545F85" w:rsidRDefault="00545F85" w:rsidP="00545F85">
                <w:pPr>
                  <w:keepNext/>
                  <w:spacing w:before="288" w:line="240" w:lineRule="atLeast"/>
                  <w:ind w:left="0" w:firstLine="0"/>
                  <w:jc w:val="center"/>
                  <w:outlineLvl w:val="4"/>
                  <w:rPr>
                    <w:b/>
                    <w:sz w:val="50"/>
                  </w:rPr>
                </w:pPr>
                <w:r w:rsidRPr="00545F85">
                  <w:rPr>
                    <w:b/>
                    <w:sz w:val="50"/>
                  </w:rPr>
                  <w:t>ПОСТАНОВЛЕНИЕ</w:t>
                </w:r>
              </w:p>
              <w:p w:rsidR="00545F85" w:rsidRPr="00545F85" w:rsidRDefault="00545F85" w:rsidP="00545F85">
                <w:pPr>
                  <w:keepNext/>
                  <w:spacing w:before="60" w:line="240" w:lineRule="atLeast"/>
                  <w:ind w:left="0" w:firstLine="0"/>
                  <w:jc w:val="center"/>
                  <w:outlineLvl w:val="3"/>
                  <w:rPr>
                    <w:rFonts w:ascii="Compact" w:hAnsi="Compact"/>
                    <w:spacing w:val="30"/>
                    <w:sz w:val="36"/>
                  </w:rPr>
                </w:pPr>
                <w:r w:rsidRPr="00545F85">
                  <w:rPr>
                    <w:rFonts w:ascii="Compact" w:hAnsi="Compact"/>
                    <w:spacing w:val="30"/>
                    <w:sz w:val="36"/>
                  </w:rPr>
                  <w:t>СОВЕТА ФЕДЕРАЦИИ</w:t>
                </w:r>
              </w:p>
              <w:p w:rsidR="00545F85" w:rsidRPr="00545F85" w:rsidRDefault="00545F85" w:rsidP="00545F85">
                <w:pPr>
                  <w:keepNext/>
                  <w:spacing w:before="48" w:line="240" w:lineRule="atLeast"/>
                  <w:ind w:left="0" w:firstLine="0"/>
                  <w:jc w:val="center"/>
                  <w:outlineLvl w:val="3"/>
                  <w:rPr>
                    <w:rFonts w:ascii="Compact" w:hAnsi="Compact"/>
                    <w:b/>
                    <w:spacing w:val="30"/>
                    <w:sz w:val="50"/>
                  </w:rPr>
                </w:pPr>
                <w:r w:rsidRPr="00545F85">
                  <w:rPr>
                    <w:rFonts w:ascii="Compact" w:hAnsi="Compact"/>
                    <w:spacing w:val="30"/>
                    <w:sz w:val="36"/>
                  </w:rPr>
                  <w:t>ФЕДЕРАЛЬНОГО СОБРАНИЯ РОССИЙСКОЙ ФЕДЕРАЦИИ</w:t>
                </w:r>
              </w:p>
            </w:sdtContent>
          </w:sdt>
        </w:tc>
      </w:tr>
    </w:tbl>
    <w:p w:rsidR="00FF3B84" w:rsidRPr="00FF3B84" w:rsidRDefault="00FF3B84" w:rsidP="00FF3B84">
      <w:pPr>
        <w:pStyle w:val="1"/>
      </w:pPr>
      <w:r w:rsidRPr="00FF3B84">
        <w:t>О государственной поддержке</w:t>
      </w:r>
    </w:p>
    <w:p w:rsidR="00FF3B84" w:rsidRPr="00FF3B84" w:rsidRDefault="00FF3B84" w:rsidP="00FF3B84">
      <w:pPr>
        <w:pStyle w:val="2"/>
      </w:pPr>
      <w:r w:rsidRPr="00FF3B84">
        <w:t xml:space="preserve">социально-экономического развития </w:t>
      </w:r>
    </w:p>
    <w:p w:rsidR="00FF3B84" w:rsidRPr="00FF3B84" w:rsidRDefault="00FF3B84" w:rsidP="00FF3B84">
      <w:pPr>
        <w:pStyle w:val="2"/>
      </w:pPr>
      <w:r w:rsidRPr="00FF3B84">
        <w:t>Калининградской области</w:t>
      </w:r>
    </w:p>
    <w:p w:rsidR="00FF3B84" w:rsidRPr="00FF3B84" w:rsidRDefault="00FF3B84" w:rsidP="00FF3B84">
      <w:pPr>
        <w:pStyle w:val="2"/>
      </w:pPr>
    </w:p>
    <w:p w:rsidR="00FF3B84" w:rsidRPr="00FF3B84" w:rsidRDefault="00FF3B84" w:rsidP="00FF3B84">
      <w:pPr>
        <w:pStyle w:val="2"/>
      </w:pPr>
    </w:p>
    <w:p w:rsidR="00FF3B84" w:rsidRPr="00FF3B84" w:rsidRDefault="00FF3B84" w:rsidP="00FF3B84">
      <w:pPr>
        <w:pStyle w:val="2"/>
      </w:pPr>
    </w:p>
    <w:p w:rsidR="00FF3B84" w:rsidRDefault="00FF3B84" w:rsidP="00FF3B84">
      <w:r>
        <w:t xml:space="preserve">Рассмотрев в рамках Дней Калининградской области </w:t>
      </w:r>
      <w:r>
        <w:br/>
        <w:t xml:space="preserve">в Совете Федерации Федерального Собрания Российской Федерации, проведенных 2–4 марта 2026 года, вопросы </w:t>
      </w:r>
      <w:r>
        <w:br/>
        <w:t xml:space="preserve">социально-экономического развития Калининградской области, </w:t>
      </w:r>
      <w:r>
        <w:br/>
        <w:t>Совет Федерации Федерального Собрания Российской Федерации отмечает следующее.</w:t>
      </w:r>
    </w:p>
    <w:p w:rsidR="00FF3B84" w:rsidRDefault="00FF3B84" w:rsidP="00FF3B84">
      <w:r>
        <w:t xml:space="preserve">Калининградская область – геостратегическая территория Российской Федерации, характеризующаяся </w:t>
      </w:r>
      <w:proofErr w:type="spellStart"/>
      <w:r>
        <w:t>эксклавным</w:t>
      </w:r>
      <w:proofErr w:type="spellEnd"/>
      <w:r>
        <w:t xml:space="preserve"> положением, обладающая значительным инвестиционным, промышленным, сельскохозяйственным и туристским потенциалом. </w:t>
      </w:r>
    </w:p>
    <w:p w:rsidR="00FF3B84" w:rsidRDefault="00FF3B84" w:rsidP="00FF3B84">
      <w:r>
        <w:t xml:space="preserve">В соответствии со Стратегией пространственного развития Российской Федерации на период до 2030 года с прогнозом </w:t>
      </w:r>
      <w:r>
        <w:br/>
        <w:t xml:space="preserve">до 2036 года, утвержденной распоряжением Правительства Российской Федерации от 28 декабря 2024 года № 4146-р, </w:t>
      </w:r>
      <w:r>
        <w:br/>
        <w:t xml:space="preserve">к основным направлениям развития Северо-Западного федерального округа относится обеспечение экономической безопасности Калининградской области, в том числе за счет организации ее устойчивого и доступного транспортного сообщения с основной территорией страны, а также снижения зависимости экономики Калининградской области </w:t>
      </w:r>
      <w:r>
        <w:br/>
        <w:t xml:space="preserve">от перевозки грузов из других субъектов Российской Федерации </w:t>
      </w:r>
      <w:r>
        <w:br/>
      </w:r>
      <w:r>
        <w:lastRenderedPageBreak/>
        <w:t>и импорта за счет осуществления более глубокой переработки продукции на территории региона.</w:t>
      </w:r>
    </w:p>
    <w:p w:rsidR="00FF3B84" w:rsidRDefault="00FF3B84" w:rsidP="00FF3B84">
      <w:r>
        <w:t>В число приоритетных специализаций Калининградской области входят сельское хозяйство и туризм.</w:t>
      </w:r>
    </w:p>
    <w:p w:rsidR="00FF3B84" w:rsidRDefault="00FF3B84" w:rsidP="00FF3B84">
      <w:r>
        <w:t xml:space="preserve">Ведущими отраслями промышленности являются пищевая </w:t>
      </w:r>
      <w:r>
        <w:br/>
        <w:t xml:space="preserve">и перерабатывающая промышленность, машиностроение, </w:t>
      </w:r>
      <w:r>
        <w:br/>
        <w:t xml:space="preserve">включая автомобилестроение, судостроение, производство радиоэлектронной продукции. Существенная составляющая экономики региона – янтарная отрасль. </w:t>
      </w:r>
    </w:p>
    <w:p w:rsidR="00FF3B84" w:rsidRDefault="00FF3B84" w:rsidP="00FF3B84">
      <w:r>
        <w:t>Сельское хозяйство специализируется на выращивании зерновых и технических культур (в част</w:t>
      </w:r>
      <w:r w:rsidR="00F074C6">
        <w:t>ности</w:t>
      </w:r>
      <w:r>
        <w:t xml:space="preserve"> рапса), картофеля </w:t>
      </w:r>
      <w:r>
        <w:br/>
        <w:t>и овощей, производстве мяса, молока, яиц.</w:t>
      </w:r>
    </w:p>
    <w:p w:rsidR="00FF3B84" w:rsidRDefault="00FF3B84" w:rsidP="00FF3B84">
      <w:r>
        <w:t xml:space="preserve">В регионе отмечается демографический рост, обусловленный повышением суммарного коэффициента рождаемости, а также миграционным притоком населения. </w:t>
      </w:r>
    </w:p>
    <w:p w:rsidR="00FF3B84" w:rsidRDefault="00FF3B84" w:rsidP="00FF3B84">
      <w:r>
        <w:t xml:space="preserve">В 2026 году Калининградская область отмечает 80-летие </w:t>
      </w:r>
      <w:r>
        <w:br/>
        <w:t xml:space="preserve">со дня образования. Запланировано свыше 100 праздничных мероприятий, включая проведение </w:t>
      </w:r>
      <w:r>
        <w:rPr>
          <w:lang w:val="en-US"/>
        </w:rPr>
        <w:t>X</w:t>
      </w:r>
      <w:r>
        <w:t xml:space="preserve"> летних Российско-Китайских молодежных игр.</w:t>
      </w:r>
    </w:p>
    <w:p w:rsidR="00FF3B84" w:rsidRDefault="00FF3B84" w:rsidP="00FF3B84">
      <w:r>
        <w:t xml:space="preserve">Основными факторами, сдерживающими социально-экономическое развитие субъекта Российской Федерации, остаются: недостаточные темпы модернизации коммунальной </w:t>
      </w:r>
      <w:r>
        <w:br/>
        <w:t xml:space="preserve">и транспортной инфраструктуры; необходимость дальнейшего совершенствования социальной сферы, в том числе создание дополнительных мощностей для образовательных организаций </w:t>
      </w:r>
      <w:r>
        <w:br/>
        <w:t xml:space="preserve">и организаций, оказывающих услуги по реабилитации инвалидов </w:t>
      </w:r>
      <w:r>
        <w:br/>
        <w:t xml:space="preserve">и участников специальной военной операции, детских оздоровительных лагерей; необходимость вовлечения </w:t>
      </w:r>
      <w:r>
        <w:br/>
        <w:t xml:space="preserve">в хозяйственную деятельность объектов культурного наследия, </w:t>
      </w:r>
      <w:r>
        <w:br/>
        <w:t>в частности их приспособление для современного использования.</w:t>
      </w:r>
    </w:p>
    <w:p w:rsidR="00FF3B84" w:rsidRDefault="00FF3B84" w:rsidP="00FF3B84">
      <w:r>
        <w:t xml:space="preserve">Для решения указанных проблем требуется привлечение дополнительных ресурсов, в том числе </w:t>
      </w:r>
      <w:proofErr w:type="spellStart"/>
      <w:r>
        <w:t>софинансирование</w:t>
      </w:r>
      <w:proofErr w:type="spellEnd"/>
      <w:r>
        <w:t xml:space="preserve"> </w:t>
      </w:r>
      <w:r>
        <w:br/>
        <w:t>за счет средств федерального бюджета.</w:t>
      </w:r>
    </w:p>
    <w:p w:rsidR="00FF3B84" w:rsidRDefault="00FF3B84" w:rsidP="00FF3B84">
      <w:r>
        <w:t xml:space="preserve">Совет Федерации Федерального Собрания Российской </w:t>
      </w:r>
      <w:proofErr w:type="gramStart"/>
      <w:r>
        <w:t xml:space="preserve">Федерации  </w:t>
      </w:r>
      <w:r>
        <w:rPr>
          <w:b/>
          <w:spacing w:val="60"/>
          <w:szCs w:val="28"/>
        </w:rPr>
        <w:t>постановляет</w:t>
      </w:r>
      <w:proofErr w:type="gramEnd"/>
      <w:r>
        <w:t>:</w:t>
      </w:r>
    </w:p>
    <w:p w:rsidR="00FF3B84" w:rsidRDefault="00FF3B84" w:rsidP="00FF3B84"/>
    <w:p w:rsidR="00FF3B84" w:rsidRDefault="00FF3B84" w:rsidP="00FF3B84">
      <w:r>
        <w:t>1.</w:t>
      </w:r>
      <w:r>
        <w:rPr>
          <w:lang w:val="en-US"/>
        </w:rPr>
        <w:t> </w:t>
      </w:r>
      <w:r>
        <w:t xml:space="preserve">Рекомендовать Правительству Российской Федерации: </w:t>
      </w:r>
    </w:p>
    <w:p w:rsidR="00FF3B84" w:rsidRDefault="00FF3B84" w:rsidP="00FF3B84">
      <w:r>
        <w:t xml:space="preserve">1) рассмотреть в ходе исполнения федерального бюджета </w:t>
      </w:r>
      <w:r>
        <w:br/>
        <w:t xml:space="preserve">в 2026 году или при формировании проекта федерального бюджета </w:t>
      </w:r>
      <w:r>
        <w:lastRenderedPageBreak/>
        <w:t xml:space="preserve">на 2027 год и на плановый период 2028 и 2029 годов вопрос </w:t>
      </w:r>
      <w:r>
        <w:br/>
        <w:t xml:space="preserve">о выделении в рамках государственной программы Российской Федерации "Развитие транспортной системы", утвержденной постановлением Правительства Российской Федерации </w:t>
      </w:r>
      <w:r>
        <w:br/>
        <w:t>от 20 декабря 2017 года №</w:t>
      </w:r>
      <w:r>
        <w:rPr>
          <w:lang w:val="en-US"/>
        </w:rPr>
        <w:t> </w:t>
      </w:r>
      <w:r>
        <w:t xml:space="preserve">1596, бюджетных ассигнований </w:t>
      </w:r>
      <w:r>
        <w:br/>
        <w:t xml:space="preserve">на </w:t>
      </w:r>
      <w:proofErr w:type="spellStart"/>
      <w:r>
        <w:t>софинансирование</w:t>
      </w:r>
      <w:proofErr w:type="spellEnd"/>
      <w:r>
        <w:t xml:space="preserve"> мероприятия "Реконструкция разводного моста через реку </w:t>
      </w:r>
      <w:proofErr w:type="spellStart"/>
      <w:r>
        <w:t>Преголь</w:t>
      </w:r>
      <w:proofErr w:type="spellEnd"/>
      <w:r>
        <w:t xml:space="preserve"> на участке Калининград</w:t>
      </w:r>
      <w:r w:rsidR="00F074C6">
        <w:t>–</w:t>
      </w:r>
      <w:r>
        <w:t>Советск Калининградской железной дороги" Этап</w:t>
      </w:r>
      <w:r>
        <w:rPr>
          <w:lang w:val="en-US"/>
        </w:rPr>
        <w:t> </w:t>
      </w:r>
      <w:r>
        <w:t xml:space="preserve">2. Автодорожный мост </w:t>
      </w:r>
      <w:r>
        <w:br/>
        <w:t xml:space="preserve">и подходы к нему" в целях его завершения в 2027 году; </w:t>
      </w:r>
    </w:p>
    <w:p w:rsidR="00FF3B84" w:rsidRDefault="00FF3B84" w:rsidP="00FF3B84">
      <w:r>
        <w:t xml:space="preserve">2) рассмотреть вопрос о включении в государственную программу Российской Федерации "Развитие транспортной системы" мероприятия по завершению строительства эстакады "Восточная" в городе Калининграде (III этап) с учетом уточнения стоимости реализации проекта с применением индексов-дефляторов; </w:t>
      </w:r>
    </w:p>
    <w:p w:rsidR="00FF3B84" w:rsidRDefault="00FF3B84" w:rsidP="00FF3B84">
      <w:r>
        <w:t xml:space="preserve">3) рассмотреть вопрос о выделении бюджетных ассигнований на </w:t>
      </w:r>
      <w:proofErr w:type="spellStart"/>
      <w:r>
        <w:t>софинансирование</w:t>
      </w:r>
      <w:proofErr w:type="spellEnd"/>
      <w:r>
        <w:t xml:space="preserve"> мероприятий по реконструкции трамвайной инфраструктуры городского наземного электрического транспорта и обновлению его подвижного состава в городе Калининграде </w:t>
      </w:r>
      <w:r>
        <w:br/>
        <w:t>при условии разработки и представления Правительством Калининградской области необходимой документац</w:t>
      </w:r>
      <w:r w:rsidR="00F074C6">
        <w:t xml:space="preserve">ии </w:t>
      </w:r>
      <w:r w:rsidR="00F074C6">
        <w:br/>
        <w:t>и обосновывающих материалов</w:t>
      </w:r>
      <w:r>
        <w:t xml:space="preserve"> в рамках исполнения пункта 11 перечня поручений по итогам встречи Председателя Правител</w:t>
      </w:r>
      <w:r w:rsidR="00941A47">
        <w:t>ьства Российской Федерации М.В.</w:t>
      </w:r>
      <w:r w:rsidR="00941A47">
        <w:rPr>
          <w:lang w:val="en-US"/>
        </w:rPr>
        <w:t> </w:t>
      </w:r>
      <w:proofErr w:type="spellStart"/>
      <w:r>
        <w:t>Мишустина</w:t>
      </w:r>
      <w:proofErr w:type="spellEnd"/>
      <w:r>
        <w:t xml:space="preserve"> с членами Совета палаты Совета Федерации 30 июня 2025 года;</w:t>
      </w:r>
    </w:p>
    <w:p w:rsidR="00FF3B84" w:rsidRDefault="00FF3B84" w:rsidP="00FF3B84">
      <w:r>
        <w:t>4) ускорить подготовку позиции Правительства Российской Федерации по проекту федерального закона "О внесении изменений в статьи 4 и 6 Федерального закона "Об Особой экономической зоне в Калининградской области и о внесении изменений в некоторые законодательные акты Российской Федерации" (с учетом рассмотрения этого проекта федерального закона на заседании Комиссии Правительства Российской Федерации по законопроектной деятельности);</w:t>
      </w:r>
    </w:p>
    <w:p w:rsidR="00FF3B84" w:rsidRDefault="00FF3B84" w:rsidP="00FF3B84">
      <w:r>
        <w:t xml:space="preserve">5) рассмотреть вопрос о включении в государственную программу Российской Федерации "Социально-экономическое развитие Калининградской области", утвержденную постановлением Правительства Российской Федерации </w:t>
      </w:r>
      <w:r>
        <w:br/>
        <w:t>от 15 апреля 2014 года №</w:t>
      </w:r>
      <w:r>
        <w:rPr>
          <w:lang w:val="en-US"/>
        </w:rPr>
        <w:t> </w:t>
      </w:r>
      <w:r>
        <w:t xml:space="preserve">311, следующих мероприятий: </w:t>
      </w:r>
    </w:p>
    <w:p w:rsidR="00FF3B84" w:rsidRDefault="00FF3B84" w:rsidP="00FF3B84">
      <w:r>
        <w:lastRenderedPageBreak/>
        <w:t xml:space="preserve">строительство нового корпуса детского оздоровительного лагеря на территории загородного центра имени Гайдара </w:t>
      </w:r>
      <w:r>
        <w:br/>
        <w:t>в городе Светлогорске (с учетом роста в Калининградской области суммарного коэффициента рождаемости);</w:t>
      </w:r>
    </w:p>
    <w:p w:rsidR="00FF3B84" w:rsidRDefault="00FF3B84" w:rsidP="00FF3B84">
      <w:r>
        <w:t xml:space="preserve">строительство стационара с бассейном для нужд государственного бюджетного стационарного учреждения социального обслуживания Калининградской области "Региональный реабилитационный центр для инвалидов </w:t>
      </w:r>
      <w:r>
        <w:br/>
        <w:t>"Новые горизонты" (в том числе в целях реабилитации участников специальной военной операции);</w:t>
      </w:r>
    </w:p>
    <w:p w:rsidR="00FF3B84" w:rsidRDefault="00FF3B84" w:rsidP="00FF3B84">
      <w:r>
        <w:t>6) рассмотреть возможность продления до 2036 года реализации государственной программы Российской Федерации "Социально-экономическое развитие Калининградской области"</w:t>
      </w:r>
      <w:r w:rsidR="00F074C6">
        <w:t>;</w:t>
      </w:r>
    </w:p>
    <w:p w:rsidR="00FF3B84" w:rsidRDefault="00FF3B84" w:rsidP="00FF3B84">
      <w:r>
        <w:t xml:space="preserve">7) рассмотреть вопрос о предоставлении бюджету Калининградской области бюджетного кредита в соответствии </w:t>
      </w:r>
      <w:r>
        <w:br/>
        <w:t xml:space="preserve">с Правилами предоставления Федеральным казначейством бюджетам субъектов Российской Федерации бюджетных кредитов на финансовое обеспечение реализации инфраструктурных проектов за счет временно свободных средств единого счета федерального бюджета, а также их использования и возврата, утвержденными постановлением Правительства Российской Федерации от 25 января 2025 года № 48, на реализацию мероприятия по реконструкции водоводов от Восточной водопроводной станции до Московской насосной станции № 2 </w:t>
      </w:r>
      <w:r>
        <w:br/>
        <w:t>в городе Калининграде, в том числе в целях создания необходимой инфраструктуры для развития инвестиционной деятельности;</w:t>
      </w:r>
    </w:p>
    <w:p w:rsidR="00FF3B84" w:rsidRDefault="00F074C6" w:rsidP="00FF3B84">
      <w:r>
        <w:t>8) </w:t>
      </w:r>
      <w:proofErr w:type="gramStart"/>
      <w:r>
        <w:t>рассмотреть</w:t>
      </w:r>
      <w:proofErr w:type="gramEnd"/>
      <w:r>
        <w:t xml:space="preserve"> начиная с 2030 года</w:t>
      </w:r>
      <w:r w:rsidR="00FF3B84">
        <w:t xml:space="preserve"> возможность увеличения норматива зачисления налога на добычу полезных ископаемых </w:t>
      </w:r>
      <w:r w:rsidR="00FF3B84">
        <w:br/>
        <w:t xml:space="preserve">от добычи янтаря в бюджеты субъектов Российской Федерации </w:t>
      </w:r>
      <w:r w:rsidR="00FF3B84">
        <w:br/>
        <w:t>до уровня, действовавшего до введения повышенного рентного коэффициента к ставке налога на добычу полезных ископаемых;</w:t>
      </w:r>
    </w:p>
    <w:p w:rsidR="00FF3B84" w:rsidRDefault="00FF3B84" w:rsidP="00FF3B84">
      <w:r>
        <w:t xml:space="preserve">9) рассмотреть вопрос об увеличении планируемых </w:t>
      </w:r>
      <w:r>
        <w:br/>
        <w:t xml:space="preserve">объемов бюджетных ассигнований федерального бюджета </w:t>
      </w:r>
      <w:r>
        <w:br/>
        <w:t xml:space="preserve">на предоставление субсидии организациям воздушного транспорта </w:t>
      </w:r>
      <w:r>
        <w:br/>
        <w:t xml:space="preserve">в целях обеспечения доступности воздушных перевозок населению по маршрутам в Калининградскую область (из нее) в соответствии </w:t>
      </w:r>
      <w:r>
        <w:br/>
        <w:t>с фактической потребностью;</w:t>
      </w:r>
    </w:p>
    <w:p w:rsidR="00FF3B84" w:rsidRDefault="00FF3B84" w:rsidP="00FF3B84">
      <w:r>
        <w:t xml:space="preserve">10) рассмотреть вопрос о выделении дополнительных бюджетных ассигнований на предоставление субсидии российским </w:t>
      </w:r>
      <w:r>
        <w:lastRenderedPageBreak/>
        <w:t>организациям для возмещения расходов на осуществление морских перевозок грузов в Калининградскую область (из нее);</w:t>
      </w:r>
    </w:p>
    <w:p w:rsidR="00FF3B84" w:rsidRDefault="00FF3B84" w:rsidP="00FF3B84">
      <w:r>
        <w:t xml:space="preserve">11) рассмотреть вопрос о продлении действия субсидии российским организациям для возмещения расходов </w:t>
      </w:r>
      <w:r>
        <w:br/>
        <w:t xml:space="preserve">на осуществление морских перевозок грузов в Калининградскую область (из нее) на весь период бюджетного планирования </w:t>
      </w:r>
      <w:r>
        <w:br/>
        <w:t>с учетом поручений Президента Российской Федерации;</w:t>
      </w:r>
    </w:p>
    <w:p w:rsidR="00FF3B84" w:rsidRDefault="00FF3B84" w:rsidP="00FF3B84">
      <w:r>
        <w:t xml:space="preserve">12) проработать с участием открытого акционерного общества "Российские железные дороги" вопрос о снижении стоимости перевозки грузов в Калининградскую область (из нее) </w:t>
      </w:r>
      <w:r>
        <w:br/>
        <w:t>по сухопутным железнодорожным маршрутам.</w:t>
      </w:r>
    </w:p>
    <w:p w:rsidR="00FF3B84" w:rsidRDefault="00FF3B84" w:rsidP="00FF3B84">
      <w:r>
        <w:t xml:space="preserve">2. Рекомендовать Министерству культуры Российской Федерации рассмотреть вопрос о включении в реестр объектов капитального строительства, объектов недвижимого имущества, строительство (реконструкция, в том числе с элементами реставрации, техническое перевооружение) или приобретение которых осуществляется (планируется осуществлять) за счет средств федерального бюджета, мероприятия по приспособлению объекта культурного наследия регионального значения "Здание янтарной мануфактуры", 1899 год, расположенного по адресу: город Калининград, улица Портовая, дом 3 (корпус литер "А"), </w:t>
      </w:r>
      <w:r>
        <w:br/>
        <w:t>для современного использования.</w:t>
      </w:r>
    </w:p>
    <w:p w:rsidR="00FF3B84" w:rsidRDefault="00FF3B84" w:rsidP="00FF3B84">
      <w:r>
        <w:t xml:space="preserve">3. Рекомендовать Министерству иностранных дел Российской Федерации и Министерству экономического развития Российской Федерации рассмотреть предложения Правительства Калининградской области о содействии в установлении </w:t>
      </w:r>
      <w:r>
        <w:br/>
        <w:t xml:space="preserve">и расширении международных и внешнеэкономических связей Калининградской области с регионами дружественных стран </w:t>
      </w:r>
      <w:r>
        <w:br/>
        <w:t xml:space="preserve">в целях обеспечения ее геополитической стабильности, </w:t>
      </w:r>
      <w:r>
        <w:br/>
        <w:t>в том числе за счет открытия в Калининградской области новых торговых и дипломатических представительств иностранных государств.</w:t>
      </w:r>
    </w:p>
    <w:p w:rsidR="00FF3B84" w:rsidRDefault="00FF3B84" w:rsidP="00FF3B84">
      <w:r>
        <w:t>4. Рекомендовать Министерству промышленности и торговли Российской Федерации:</w:t>
      </w:r>
    </w:p>
    <w:p w:rsidR="00FF3B84" w:rsidRDefault="00FF3B84" w:rsidP="00FF3B84">
      <w:r>
        <w:t xml:space="preserve">1) рассмотреть совместно с Правительством Калининградской области вопрос о разработке стратегии развития янтарной отрасли Российской Федерации на период до 2032 года </w:t>
      </w:r>
      <w:r>
        <w:br/>
        <w:t>и представить ее проект на рассмотрение в Правительство Российской Федерации в декабре 2027 года;</w:t>
      </w:r>
    </w:p>
    <w:p w:rsidR="00FF3B84" w:rsidRDefault="00FF3B84" w:rsidP="00FF3B84">
      <w:r>
        <w:lastRenderedPageBreak/>
        <w:t xml:space="preserve">2) обеспечить завершение строительства большого морозильного рыболовецкого траулера "Виктор Гаврилов" </w:t>
      </w:r>
      <w:r>
        <w:br/>
        <w:t>путем финансирования этого мероприятия в 2026 году.</w:t>
      </w:r>
    </w:p>
    <w:p w:rsidR="00FF3B84" w:rsidRDefault="00FF3B84" w:rsidP="00FF3B84">
      <w:r>
        <w:t>5. Рекомендовать Министерству транспорта Российской Федерации рассмотреть вопрос о сохранении возможности захода в морские порты Российской Федерации судов рыбопромыслового флота старше 40</w:t>
      </w:r>
      <w:r>
        <w:rPr>
          <w:lang w:val="en-US"/>
        </w:rPr>
        <w:t> </w:t>
      </w:r>
      <w:r w:rsidR="00877114">
        <w:t>лет с учетом их модернизации</w:t>
      </w:r>
      <w:r>
        <w:t xml:space="preserve"> в целях обеспечения продовольственной безопасности и эффективности функционирования рыбопромышленного комплекса Калининградской области.</w:t>
      </w:r>
    </w:p>
    <w:p w:rsidR="00FF3B84" w:rsidRDefault="00FF3B84" w:rsidP="00FF3B84">
      <w:r>
        <w:t xml:space="preserve">6. Рекомендовать Министерству природных ресурсов </w:t>
      </w:r>
      <w:r>
        <w:br/>
        <w:t xml:space="preserve">и экологии Российской Федерации во взаимодействии с публично-правовой компанией по формированию комплексной системы обращения с твердыми коммунальными отходами "Российский экологический оператор" проработать вопрос о </w:t>
      </w:r>
      <w:proofErr w:type="spellStart"/>
      <w:r>
        <w:t>софинансировании</w:t>
      </w:r>
      <w:proofErr w:type="spellEnd"/>
      <w:r>
        <w:t xml:space="preserve"> мероприятия по реконструкции мусоросортировочного комплекса, расположенного вблизи поселка </w:t>
      </w:r>
      <w:proofErr w:type="spellStart"/>
      <w:r>
        <w:t>Жаворонково</w:t>
      </w:r>
      <w:proofErr w:type="spellEnd"/>
      <w:r>
        <w:t xml:space="preserve"> Калининградской области. </w:t>
      </w:r>
    </w:p>
    <w:p w:rsidR="00FF3B84" w:rsidRDefault="00FF3B84" w:rsidP="00FF3B84">
      <w:r>
        <w:t xml:space="preserve">7. Комитету Совета Федерации по экономической политике </w:t>
      </w:r>
      <w:r>
        <w:br/>
        <w:t xml:space="preserve">во взаимодействии с Министерством экономического развития Российской Федерации, Министерством промышленности </w:t>
      </w:r>
      <w:r>
        <w:br/>
        <w:t>и торговли Российской Федерации, Министерством энергетики Российской Федерации, другими заинтересованными федеральными органами исполнительной власти, Государственной корпорацией по атомной энергии "</w:t>
      </w:r>
      <w:proofErr w:type="spellStart"/>
      <w:r>
        <w:t>Росатом</w:t>
      </w:r>
      <w:proofErr w:type="spellEnd"/>
      <w:r>
        <w:t>", Правительством Калининградской области проработать вопрос о поэтапном переходе к использованию электромобилей и о развитии зарядной инфраструктуры электрического транспорта.</w:t>
      </w:r>
    </w:p>
    <w:p w:rsidR="00FF3B84" w:rsidRDefault="00FF3B84" w:rsidP="00FF3B84">
      <w:r>
        <w:t xml:space="preserve">8. Рекомендовать Законодательному Собранию Калининградской области обеспечить принятие в марте 2026 года закона Калининградской области, предусматривающего порядок </w:t>
      </w:r>
      <w:r>
        <w:br/>
        <w:t xml:space="preserve">и особенности перевода земель сельскохозяйственного назначения или земельных участков в составе таких земель из одной категории в другую в соответствии с положениями Федерального закона </w:t>
      </w:r>
      <w:r>
        <w:br/>
        <w:t xml:space="preserve">от 1 апреля 2025 года № 52-ФЗ "О внесении изменений </w:t>
      </w:r>
      <w:r>
        <w:br/>
        <w:t>в отдельные законодательные акты Российской Федерации".</w:t>
      </w:r>
    </w:p>
    <w:p w:rsidR="00FF3B84" w:rsidRDefault="00FF3B84" w:rsidP="00FF3B84">
      <w:r>
        <w:t>9. Рекомендовать Правительству Калининградской области:</w:t>
      </w:r>
    </w:p>
    <w:p w:rsidR="00FF3B84" w:rsidRDefault="00FF3B84" w:rsidP="00FF3B84">
      <w:r>
        <w:t>1) представить в уполномоченные федеральные органы исполнительной власти предложения, заявки и финансово-</w:t>
      </w:r>
      <w:r>
        <w:lastRenderedPageBreak/>
        <w:t>экономические обоснования, необходимые для реализации рекомендаций, содержащихся в настоящем постановлении;</w:t>
      </w:r>
    </w:p>
    <w:p w:rsidR="00FF3B84" w:rsidRDefault="00FF3B84" w:rsidP="00FF3B84">
      <w:r>
        <w:t>2) проработать во взаимодействии с Государственной корпорацией по атомной энергии "</w:t>
      </w:r>
      <w:proofErr w:type="spellStart"/>
      <w:r>
        <w:t>Росатом</w:t>
      </w:r>
      <w:proofErr w:type="spellEnd"/>
      <w:r>
        <w:t xml:space="preserve">", федеральным государственным автономным образовательным учреждением высшего образования "Балтийский федеральный университет имени </w:t>
      </w:r>
      <w:proofErr w:type="spellStart"/>
      <w:r>
        <w:t>Иммануила</w:t>
      </w:r>
      <w:proofErr w:type="spellEnd"/>
      <w:r>
        <w:t xml:space="preserve"> Канта" вопрос о создании на базе кампуса этого учреждения научно-производственного образовательного кластера для развития современных накопителей энергии.</w:t>
      </w:r>
    </w:p>
    <w:p w:rsidR="00FF3B84" w:rsidRDefault="00FF3B84" w:rsidP="00FF3B84">
      <w:r>
        <w:t xml:space="preserve">10. Предложить Правительству Калининградской области разработать план мероприятий по взаимодействию </w:t>
      </w:r>
      <w:r>
        <w:br/>
        <w:t>с федеральными органами исполнительной власти в целях реализации рекомендаций, содержащихся в настоящем постановлении.</w:t>
      </w:r>
    </w:p>
    <w:p w:rsidR="00FF3B84" w:rsidRDefault="00FF3B84" w:rsidP="00FF3B84">
      <w:r>
        <w:t>11. Рекомендовать сенаторам Российской Федерации – представителям от Калининградской области:</w:t>
      </w:r>
    </w:p>
    <w:p w:rsidR="00FF3B84" w:rsidRDefault="00FF3B84" w:rsidP="00FF3B84">
      <w:r>
        <w:t>1) обеспечить в ходе реализации настоящего постановления содействие органам государственной власти Калининградской области, в том числе при их взаимодействии с федеральными органами исполнительной власти;</w:t>
      </w:r>
    </w:p>
    <w:p w:rsidR="00FF3B84" w:rsidRDefault="00FF3B84" w:rsidP="00FF3B84">
      <w:r>
        <w:t xml:space="preserve">2) проинформировать Комитет Совета Федерации </w:t>
      </w:r>
      <w:r>
        <w:br/>
        <w:t>по федеративному устройству, региональной политике, местному самоуправлению и делам Севера в октябре 2026 года о ходе реализации рекомендаций, содержащихся в настоящем постановлении.</w:t>
      </w:r>
    </w:p>
    <w:p w:rsidR="00FF3B84" w:rsidRDefault="00FF3B84" w:rsidP="00FF3B84">
      <w:r>
        <w:t>12. Предложить Правительству Российской Федерации проинформировать Совет Федерации Федерального Собрания Российской Федерации в октябре 2026 года о ходе реализации рекомендаций, содержащихся в настоящем постановлении.</w:t>
      </w:r>
    </w:p>
    <w:p w:rsidR="00FF3B84" w:rsidRDefault="00FF3B84" w:rsidP="00FF3B84">
      <w:r>
        <w:t xml:space="preserve">13. Предложить Правительству Калининградской области проинформировать Совет Федерации Федерального Собрания Российской Федерации в октябре 2026 года о ходе реализации настоящего постановления. </w:t>
      </w:r>
    </w:p>
    <w:p w:rsidR="00FF3B84" w:rsidRDefault="00FF3B84" w:rsidP="00FF3B84">
      <w:r>
        <w:t xml:space="preserve">14. Комитету Совета Федерации по федеративному устройству, региональной политике, местному самоуправлению </w:t>
      </w:r>
      <w:r>
        <w:br/>
        <w:t xml:space="preserve">и делам Севера проинформировать палату в ноябре 2026 года </w:t>
      </w:r>
      <w:r>
        <w:br/>
        <w:t>о реализации настоящего постановления.</w:t>
      </w:r>
    </w:p>
    <w:p w:rsidR="00FD5162" w:rsidRDefault="00FD5162">
      <w:pPr>
        <w:overflowPunct/>
        <w:autoSpaceDE/>
        <w:autoSpaceDN/>
        <w:adjustRightInd/>
        <w:spacing w:after="200" w:line="276" w:lineRule="auto"/>
        <w:ind w:left="0" w:firstLine="0"/>
        <w:jc w:val="left"/>
        <w:textAlignment w:val="auto"/>
      </w:pPr>
      <w:r>
        <w:br w:type="page"/>
      </w:r>
    </w:p>
    <w:p w:rsidR="00FF3B84" w:rsidRDefault="00FF3B84" w:rsidP="00FF3B84">
      <w:r>
        <w:lastRenderedPageBreak/>
        <w:t xml:space="preserve">15. Контроль за исполнением настоящего постановления возложить на Комитет Совета Федерации по федеративному устройству, региональной политике, местному самоуправлению </w:t>
      </w:r>
      <w:r>
        <w:br/>
        <w:t>и делам Севера.</w:t>
      </w:r>
    </w:p>
    <w:p w:rsidR="00FF3B84" w:rsidRDefault="00FF3B84" w:rsidP="00FF3B84">
      <w:r>
        <w:t>16. Настоящее постановление вступает в силу со дня его принятия.</w:t>
      </w:r>
    </w:p>
    <w:p w:rsidR="00FF3B84" w:rsidRDefault="00FF3B84" w:rsidP="00FF3B84"/>
    <w:p w:rsidR="00FF3B84" w:rsidRDefault="00FF3B84" w:rsidP="00FF3B84"/>
    <w:p w:rsidR="00FF3B84" w:rsidRDefault="00FF3B84" w:rsidP="00FF3B84"/>
    <w:p w:rsidR="00881C5B" w:rsidRDefault="00881C5B" w:rsidP="001F1E41">
      <w:pPr>
        <w:pStyle w:val="11"/>
      </w:pPr>
      <w:r>
        <w:t>Председатель</w:t>
      </w:r>
      <w:r>
        <w:br/>
        <w:t>Совета Федерации</w:t>
      </w:r>
      <w:r>
        <w:br/>
        <w:t>Федерального Собрания</w:t>
      </w:r>
      <w:r>
        <w:br/>
        <w:t>Российской Федерации</w:t>
      </w:r>
      <w:r>
        <w:tab/>
      </w:r>
      <w:r>
        <w:tab/>
        <w:t>В.И. МАТВИЕНКО</w:t>
      </w:r>
    </w:p>
    <w:p w:rsidR="00FF3B84" w:rsidRPr="00881C5B" w:rsidRDefault="00FF3B84" w:rsidP="00FF3B84">
      <w:pPr>
        <w:pStyle w:val="ac"/>
      </w:pPr>
    </w:p>
    <w:p w:rsidR="00FF3B84" w:rsidRDefault="00FF3B84" w:rsidP="00FF3B84">
      <w:pPr>
        <w:pStyle w:val="ac"/>
      </w:pPr>
    </w:p>
    <w:p w:rsidR="00FF3B84" w:rsidRDefault="00FF3B84" w:rsidP="00FF3B84">
      <w:pPr>
        <w:pStyle w:val="ac"/>
      </w:pPr>
    </w:p>
    <w:p w:rsidR="001F1E41" w:rsidRDefault="001F1E41" w:rsidP="00545F85">
      <w:pPr>
        <w:pStyle w:val="af"/>
      </w:pPr>
      <w:r>
        <w:t>Москва</w:t>
      </w:r>
    </w:p>
    <w:p w:rsidR="001F1E41" w:rsidRDefault="001F1E41" w:rsidP="00545F85">
      <w:pPr>
        <w:pStyle w:val="af"/>
      </w:pPr>
      <w:r>
        <w:t>18 марта 2026 года</w:t>
      </w:r>
    </w:p>
    <w:p w:rsidR="00FF3B84" w:rsidRPr="001F1E41" w:rsidRDefault="001F1E41" w:rsidP="001F1E41">
      <w:pPr>
        <w:pStyle w:val="af"/>
      </w:pPr>
      <w:r>
        <w:t>№ 102-СФ</w:t>
      </w:r>
    </w:p>
    <w:sectPr w:rsidR="00FF3B84" w:rsidRPr="001F1E41" w:rsidSect="00B30B27">
      <w:headerReference w:type="default" r:id="rId7"/>
      <w:footerReference w:type="default" r:id="rId8"/>
      <w:footerReference w:type="first" r:id="rId9"/>
      <w:pgSz w:w="11907" w:h="16840" w:code="9"/>
      <w:pgMar w:top="794" w:right="851" w:bottom="1134" w:left="851" w:header="70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63DE" w:rsidRDefault="00DC63DE">
      <w:pPr>
        <w:spacing w:line="240" w:lineRule="auto"/>
      </w:pPr>
      <w:r>
        <w:separator/>
      </w:r>
    </w:p>
  </w:endnote>
  <w:endnote w:type="continuationSeparator" w:id="0">
    <w:p w:rsidR="00DC63DE" w:rsidRDefault="00DC63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NTHarmonica">
    <w:panose1 w:val="02000503000000020004"/>
    <w:charset w:val="CC"/>
    <w:family w:val="auto"/>
    <w:pitch w:val="variable"/>
    <w:sig w:usb0="00000203" w:usb1="00000000" w:usb2="00000000" w:usb3="00000000" w:csb0="00000005" w:csb1="00000000"/>
    <w:embedRegular r:id="rId1" w:fontKey="{33C7727A-8834-4C2A-98C9-899E71D790F8}"/>
    <w:embedBold r:id="rId2" w:fontKey="{F424EAF4-AF78-4FCF-BDD6-0F85D18ED55B}"/>
  </w:font>
  <w:font w:name="Compact">
    <w:panose1 w:val="02000506000000020004"/>
    <w:charset w:val="CC"/>
    <w:family w:val="auto"/>
    <w:pitch w:val="variable"/>
    <w:sig w:usb0="00000203" w:usb1="00000000" w:usb2="00000000" w:usb3="00000000" w:csb0="00000005" w:csb1="00000000"/>
    <w:embedRegular r:id="rId3" w:subsetted="1" w:fontKey="{1DD0E90F-580A-4A03-8E0C-DC86EBFD1E7D}"/>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Pr="00881C5B" w:rsidRDefault="00881C5B" w:rsidP="00881C5B">
    <w:pPr>
      <w:pStyle w:val="a9"/>
    </w:pPr>
    <w:r>
      <w:rPr>
        <w:noProof/>
      </w:rPr>
      <w:fldChar w:fldCharType="begin"/>
    </w:r>
    <w:r>
      <w:rPr>
        <w:noProof/>
      </w:rPr>
      <w:instrText xml:space="preserve"> FILENAME  \* MERGEFORMAT </w:instrText>
    </w:r>
    <w:r>
      <w:rPr>
        <w:noProof/>
      </w:rPr>
      <w:fldChar w:fldCharType="separate"/>
    </w:r>
    <w:r w:rsidR="001F1E41">
      <w:rPr>
        <w:noProof/>
      </w:rPr>
      <w:t>sa10730.docx</w:t>
    </w:r>
    <w:r>
      <w:rPr>
        <w:noProof/>
      </w:rPr>
      <w:fldChar w:fldCharType="end"/>
    </w:r>
    <w:r>
      <w:rPr>
        <w:noProof/>
      </w:rPr>
      <w:t xml:space="preserve">   </w:t>
    </w:r>
    <w:r>
      <w:rPr>
        <w:noProof/>
      </w:rPr>
      <w:fldChar w:fldCharType="begin"/>
    </w:r>
    <w:r>
      <w:rPr>
        <w:noProof/>
      </w:rPr>
      <w:instrText xml:space="preserve"> USERINITIALS  \* MERGEFORMAT </w:instrText>
    </w:r>
    <w:r>
      <w:rPr>
        <w:noProof/>
      </w:rPr>
      <w:fldChar w:fldCharType="separate"/>
    </w:r>
    <w:r w:rsidR="001F1E41">
      <w:rPr>
        <w:noProof/>
      </w:rPr>
      <w:t>645</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Pr="00881C5B" w:rsidRDefault="00881C5B" w:rsidP="00881C5B">
    <w:pPr>
      <w:pStyle w:val="a9"/>
    </w:pPr>
    <w:r>
      <w:rPr>
        <w:noProof/>
      </w:rPr>
      <w:fldChar w:fldCharType="begin"/>
    </w:r>
    <w:r>
      <w:rPr>
        <w:noProof/>
      </w:rPr>
      <w:instrText xml:space="preserve"> FILENAME  \* MERGEFORMAT </w:instrText>
    </w:r>
    <w:r>
      <w:rPr>
        <w:noProof/>
      </w:rPr>
      <w:fldChar w:fldCharType="separate"/>
    </w:r>
    <w:r w:rsidR="001F1E41">
      <w:rPr>
        <w:noProof/>
      </w:rPr>
      <w:t>sa10730.docx</w:t>
    </w:r>
    <w:r>
      <w:rPr>
        <w:noProof/>
      </w:rPr>
      <w:fldChar w:fldCharType="end"/>
    </w:r>
    <w:r>
      <w:rPr>
        <w:noProof/>
      </w:rPr>
      <w:t xml:space="preserve">   </w:t>
    </w:r>
    <w:r>
      <w:rPr>
        <w:noProof/>
      </w:rPr>
      <w:fldChar w:fldCharType="begin"/>
    </w:r>
    <w:r>
      <w:rPr>
        <w:noProof/>
      </w:rPr>
      <w:instrText xml:space="preserve"> USERINITIALS  \* MERGEFORMAT </w:instrText>
    </w:r>
    <w:r>
      <w:rPr>
        <w:noProof/>
      </w:rPr>
      <w:fldChar w:fldCharType="separate"/>
    </w:r>
    <w:r w:rsidR="001F1E41">
      <w:rPr>
        <w:noProof/>
      </w:rPr>
      <w:t>645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63DE" w:rsidRDefault="00DC63DE">
      <w:pPr>
        <w:spacing w:line="240" w:lineRule="auto"/>
      </w:pPr>
      <w:r>
        <w:separator/>
      </w:r>
    </w:p>
  </w:footnote>
  <w:footnote w:type="continuationSeparator" w:id="0">
    <w:p w:rsidR="00DC63DE" w:rsidRDefault="00DC63D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Default="00545F85">
    <w:pPr>
      <w:pStyle w:val="a7"/>
    </w:pPr>
    <w:r>
      <w:rPr>
        <w:rStyle w:val="ab"/>
      </w:rPr>
      <w:fldChar w:fldCharType="begin"/>
    </w:r>
    <w:r>
      <w:rPr>
        <w:rStyle w:val="ab"/>
      </w:rPr>
      <w:instrText xml:space="preserve"> PAGE </w:instrText>
    </w:r>
    <w:r>
      <w:rPr>
        <w:rStyle w:val="ab"/>
      </w:rPr>
      <w:fldChar w:fldCharType="separate"/>
    </w:r>
    <w:r w:rsidR="007A1C1C">
      <w:rPr>
        <w:rStyle w:val="ab"/>
        <w:noProof/>
      </w:rPr>
      <w:t>8</w:t>
    </w:r>
    <w:r>
      <w:rPr>
        <w:rStyle w:val="ab"/>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3C2F314"/>
    <w:lvl w:ilvl="0">
      <w:start w:val="1"/>
      <w:numFmt w:val="decimal"/>
      <w:lvlText w:val="%1."/>
      <w:lvlJc w:val="left"/>
      <w:pPr>
        <w:tabs>
          <w:tab w:val="num" w:pos="1492"/>
        </w:tabs>
        <w:ind w:left="1492" w:hanging="360"/>
      </w:pPr>
    </w:lvl>
  </w:abstractNum>
  <w:abstractNum w:abstractNumId="1">
    <w:nsid w:val="FFFFFF7D"/>
    <w:multiLevelType w:val="singleLevel"/>
    <w:tmpl w:val="2516FEB2"/>
    <w:lvl w:ilvl="0">
      <w:start w:val="1"/>
      <w:numFmt w:val="decimal"/>
      <w:lvlText w:val="%1."/>
      <w:lvlJc w:val="left"/>
      <w:pPr>
        <w:tabs>
          <w:tab w:val="num" w:pos="1209"/>
        </w:tabs>
        <w:ind w:left="1209" w:hanging="360"/>
      </w:pPr>
    </w:lvl>
  </w:abstractNum>
  <w:abstractNum w:abstractNumId="2">
    <w:nsid w:val="FFFFFF7E"/>
    <w:multiLevelType w:val="singleLevel"/>
    <w:tmpl w:val="70CCDBB6"/>
    <w:lvl w:ilvl="0">
      <w:start w:val="1"/>
      <w:numFmt w:val="decimal"/>
      <w:lvlText w:val="%1."/>
      <w:lvlJc w:val="left"/>
      <w:pPr>
        <w:tabs>
          <w:tab w:val="num" w:pos="926"/>
        </w:tabs>
        <w:ind w:left="926" w:hanging="360"/>
      </w:pPr>
    </w:lvl>
  </w:abstractNum>
  <w:abstractNum w:abstractNumId="3">
    <w:nsid w:val="FFFFFF7F"/>
    <w:multiLevelType w:val="singleLevel"/>
    <w:tmpl w:val="A1AE0588"/>
    <w:lvl w:ilvl="0">
      <w:start w:val="1"/>
      <w:numFmt w:val="decimal"/>
      <w:lvlText w:val="%1."/>
      <w:lvlJc w:val="left"/>
      <w:pPr>
        <w:tabs>
          <w:tab w:val="num" w:pos="643"/>
        </w:tabs>
        <w:ind w:left="643" w:hanging="360"/>
      </w:pPr>
    </w:lvl>
  </w:abstractNum>
  <w:abstractNum w:abstractNumId="4">
    <w:nsid w:val="FFFFFF80"/>
    <w:multiLevelType w:val="singleLevel"/>
    <w:tmpl w:val="F552DC4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CD7A67B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45E3AA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9E0A78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9222A26"/>
    <w:lvl w:ilvl="0">
      <w:start w:val="1"/>
      <w:numFmt w:val="decimal"/>
      <w:lvlText w:val="%1."/>
      <w:lvlJc w:val="left"/>
      <w:pPr>
        <w:tabs>
          <w:tab w:val="num" w:pos="360"/>
        </w:tabs>
        <w:ind w:left="360" w:hanging="360"/>
      </w:pPr>
    </w:lvl>
  </w:abstractNum>
  <w:abstractNum w:abstractNumId="9">
    <w:nsid w:val="FFFFFF89"/>
    <w:multiLevelType w:val="singleLevel"/>
    <w:tmpl w:val="7A268706"/>
    <w:lvl w:ilvl="0">
      <w:start w:val="1"/>
      <w:numFmt w:val="bullet"/>
      <w:lvlText w:val=""/>
      <w:lvlJc w:val="left"/>
      <w:pPr>
        <w:tabs>
          <w:tab w:val="num" w:pos="360"/>
        </w:tabs>
        <w:ind w:left="360" w:hanging="360"/>
      </w:pPr>
      <w:rPr>
        <w:rFonts w:ascii="Symbol" w:hAnsi="Symbol" w:hint="default"/>
      </w:rPr>
    </w:lvl>
  </w:abstractNum>
  <w:num w:numId="1">
    <w:abstractNumId w:val="7"/>
  </w:num>
  <w:num w:numId="2">
    <w:abstractNumId w:val="7"/>
  </w:num>
  <w:num w:numId="3">
    <w:abstractNumId w:val="6"/>
  </w:num>
  <w:num w:numId="4">
    <w:abstractNumId w:val="6"/>
  </w:num>
  <w:num w:numId="5">
    <w:abstractNumId w:val="5"/>
  </w:num>
  <w:num w:numId="6">
    <w:abstractNumId w:val="5"/>
  </w:num>
  <w:num w:numId="7">
    <w:abstractNumId w:val="4"/>
  </w:num>
  <w:num w:numId="8">
    <w:abstractNumId w:val="4"/>
  </w:num>
  <w:num w:numId="9">
    <w:abstractNumId w:val="9"/>
  </w:num>
  <w:num w:numId="10">
    <w:abstractNumId w:val="9"/>
  </w:num>
  <w:num w:numId="11">
    <w:abstractNumId w:val="3"/>
  </w:num>
  <w:num w:numId="12">
    <w:abstractNumId w:val="3"/>
  </w:num>
  <w:num w:numId="13">
    <w:abstractNumId w:val="2"/>
  </w:num>
  <w:num w:numId="14">
    <w:abstractNumId w:val="2"/>
  </w:num>
  <w:num w:numId="15">
    <w:abstractNumId w:val="1"/>
  </w:num>
  <w:num w:numId="16">
    <w:abstractNumId w:val="1"/>
  </w:num>
  <w:num w:numId="17">
    <w:abstractNumId w:val="0"/>
  </w:num>
  <w:num w:numId="18">
    <w:abstractNumId w:val="0"/>
  </w:num>
  <w:num w:numId="19">
    <w:abstractNumId w:val="8"/>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291E"/>
    <w:rsid w:val="00044137"/>
    <w:rsid w:val="0009778F"/>
    <w:rsid w:val="000C3FA5"/>
    <w:rsid w:val="000D3F67"/>
    <w:rsid w:val="000D7178"/>
    <w:rsid w:val="000E6027"/>
    <w:rsid w:val="00105638"/>
    <w:rsid w:val="001057BD"/>
    <w:rsid w:val="00115943"/>
    <w:rsid w:val="0012278D"/>
    <w:rsid w:val="00131782"/>
    <w:rsid w:val="0013673A"/>
    <w:rsid w:val="00151505"/>
    <w:rsid w:val="001A628A"/>
    <w:rsid w:val="001D2DE4"/>
    <w:rsid w:val="001F1E41"/>
    <w:rsid w:val="0020271D"/>
    <w:rsid w:val="00202CF6"/>
    <w:rsid w:val="00205211"/>
    <w:rsid w:val="0025005A"/>
    <w:rsid w:val="0025416A"/>
    <w:rsid w:val="00260E15"/>
    <w:rsid w:val="002623D0"/>
    <w:rsid w:val="002A1E3D"/>
    <w:rsid w:val="002B0C19"/>
    <w:rsid w:val="002B772D"/>
    <w:rsid w:val="002C052F"/>
    <w:rsid w:val="002D1E74"/>
    <w:rsid w:val="003114B9"/>
    <w:rsid w:val="00317678"/>
    <w:rsid w:val="003273F1"/>
    <w:rsid w:val="003468EC"/>
    <w:rsid w:val="0035125E"/>
    <w:rsid w:val="00373698"/>
    <w:rsid w:val="003848B1"/>
    <w:rsid w:val="003D7B7B"/>
    <w:rsid w:val="003D7E95"/>
    <w:rsid w:val="003F18ED"/>
    <w:rsid w:val="00422268"/>
    <w:rsid w:val="00423816"/>
    <w:rsid w:val="00436EA2"/>
    <w:rsid w:val="004763B3"/>
    <w:rsid w:val="00476BCB"/>
    <w:rsid w:val="004A68AB"/>
    <w:rsid w:val="00505068"/>
    <w:rsid w:val="00545F85"/>
    <w:rsid w:val="005B227F"/>
    <w:rsid w:val="005B2AEB"/>
    <w:rsid w:val="0064553C"/>
    <w:rsid w:val="00652329"/>
    <w:rsid w:val="00653DDA"/>
    <w:rsid w:val="00663413"/>
    <w:rsid w:val="006A551B"/>
    <w:rsid w:val="006B2ED1"/>
    <w:rsid w:val="006F469E"/>
    <w:rsid w:val="00711B79"/>
    <w:rsid w:val="00714F7E"/>
    <w:rsid w:val="00720496"/>
    <w:rsid w:val="00723EF8"/>
    <w:rsid w:val="0078182C"/>
    <w:rsid w:val="007A1C1C"/>
    <w:rsid w:val="007E3ED1"/>
    <w:rsid w:val="007F20B2"/>
    <w:rsid w:val="008271AE"/>
    <w:rsid w:val="008277D9"/>
    <w:rsid w:val="008337CB"/>
    <w:rsid w:val="0084018B"/>
    <w:rsid w:val="00847BA8"/>
    <w:rsid w:val="00875FB3"/>
    <w:rsid w:val="00877114"/>
    <w:rsid w:val="00881C5B"/>
    <w:rsid w:val="00885B74"/>
    <w:rsid w:val="008A1F80"/>
    <w:rsid w:val="008B4B87"/>
    <w:rsid w:val="00910EF7"/>
    <w:rsid w:val="00930EAE"/>
    <w:rsid w:val="00941A47"/>
    <w:rsid w:val="00946778"/>
    <w:rsid w:val="00961B59"/>
    <w:rsid w:val="00997F4C"/>
    <w:rsid w:val="009B462B"/>
    <w:rsid w:val="009C016F"/>
    <w:rsid w:val="009E34F6"/>
    <w:rsid w:val="009F607A"/>
    <w:rsid w:val="00A42D4C"/>
    <w:rsid w:val="00A43E5F"/>
    <w:rsid w:val="00A72902"/>
    <w:rsid w:val="00A82E08"/>
    <w:rsid w:val="00AA344E"/>
    <w:rsid w:val="00AF3168"/>
    <w:rsid w:val="00B07D98"/>
    <w:rsid w:val="00B30B27"/>
    <w:rsid w:val="00B33546"/>
    <w:rsid w:val="00B45551"/>
    <w:rsid w:val="00B67711"/>
    <w:rsid w:val="00B823C4"/>
    <w:rsid w:val="00BB53CB"/>
    <w:rsid w:val="00BB5A67"/>
    <w:rsid w:val="00C32459"/>
    <w:rsid w:val="00C32CF3"/>
    <w:rsid w:val="00CA0263"/>
    <w:rsid w:val="00CA0F19"/>
    <w:rsid w:val="00CA5C51"/>
    <w:rsid w:val="00CF27C2"/>
    <w:rsid w:val="00CF731B"/>
    <w:rsid w:val="00D15054"/>
    <w:rsid w:val="00D3291E"/>
    <w:rsid w:val="00D3579A"/>
    <w:rsid w:val="00D43583"/>
    <w:rsid w:val="00DA769E"/>
    <w:rsid w:val="00DC63DE"/>
    <w:rsid w:val="00E02685"/>
    <w:rsid w:val="00E10CD4"/>
    <w:rsid w:val="00EA33B9"/>
    <w:rsid w:val="00EC15CC"/>
    <w:rsid w:val="00F074C6"/>
    <w:rsid w:val="00F178A8"/>
    <w:rsid w:val="00F21BB0"/>
    <w:rsid w:val="00F830DC"/>
    <w:rsid w:val="00F9160B"/>
    <w:rsid w:val="00FD513E"/>
    <w:rsid w:val="00FD5162"/>
    <w:rsid w:val="00FF3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85F09C-D430-4736-B538-CFDA6B4EC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ru-RU"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5F85"/>
    <w:pPr>
      <w:overflowPunct w:val="0"/>
      <w:autoSpaceDE w:val="0"/>
      <w:autoSpaceDN w:val="0"/>
      <w:adjustRightInd w:val="0"/>
      <w:spacing w:after="0" w:line="360" w:lineRule="atLeast"/>
      <w:ind w:left="567" w:firstLine="851"/>
      <w:jc w:val="both"/>
      <w:textAlignment w:val="baseline"/>
    </w:pPr>
    <w:rPr>
      <w:rFonts w:ascii="NTHarmonica" w:hAnsi="NTHarmonica" w:cs="Times New Roman"/>
      <w:sz w:val="28"/>
      <w:szCs w:val="20"/>
      <w:lang w:eastAsia="ru-RU"/>
    </w:rPr>
  </w:style>
  <w:style w:type="paragraph" w:styleId="1">
    <w:name w:val="heading 1"/>
    <w:basedOn w:val="a"/>
    <w:next w:val="2"/>
    <w:link w:val="10"/>
    <w:qFormat/>
    <w:rsid w:val="00545F85"/>
    <w:pPr>
      <w:spacing w:before="720" w:line="240" w:lineRule="atLeast"/>
      <w:ind w:left="0" w:firstLine="0"/>
      <w:jc w:val="center"/>
      <w:outlineLvl w:val="0"/>
    </w:pPr>
    <w:rPr>
      <w:b/>
    </w:rPr>
  </w:style>
  <w:style w:type="paragraph" w:styleId="2">
    <w:name w:val="heading 2"/>
    <w:basedOn w:val="a"/>
    <w:link w:val="20"/>
    <w:qFormat/>
    <w:rsid w:val="00545F85"/>
    <w:pPr>
      <w:spacing w:line="240" w:lineRule="atLeast"/>
      <w:ind w:left="0" w:firstLine="0"/>
      <w:jc w:val="center"/>
      <w:outlineLvl w:val="1"/>
    </w:pPr>
    <w:rPr>
      <w:b/>
    </w:rPr>
  </w:style>
  <w:style w:type="paragraph" w:styleId="3">
    <w:name w:val="heading 3"/>
    <w:basedOn w:val="a"/>
    <w:next w:val="2"/>
    <w:link w:val="30"/>
    <w:qFormat/>
    <w:rsid w:val="00545F85"/>
    <w:pPr>
      <w:spacing w:before="720" w:line="240" w:lineRule="atLeast"/>
      <w:ind w:left="0" w:firstLine="0"/>
      <w:jc w:val="center"/>
      <w:outlineLvl w:val="2"/>
    </w:pPr>
    <w:rPr>
      <w:b/>
    </w:rPr>
  </w:style>
  <w:style w:type="paragraph" w:styleId="4">
    <w:name w:val="heading 4"/>
    <w:basedOn w:val="a"/>
    <w:next w:val="a"/>
    <w:link w:val="40"/>
    <w:qFormat/>
    <w:rsid w:val="00545F85"/>
    <w:pPr>
      <w:keepNext/>
      <w:spacing w:before="60" w:line="240" w:lineRule="atLeast"/>
      <w:ind w:left="0" w:firstLine="0"/>
      <w:jc w:val="center"/>
      <w:outlineLvl w:val="3"/>
    </w:pPr>
    <w:rPr>
      <w:rFonts w:ascii="Compact" w:hAnsi="Compact"/>
      <w:spacing w:val="30"/>
      <w:sz w:val="36"/>
    </w:rPr>
  </w:style>
  <w:style w:type="paragraph" w:styleId="5">
    <w:name w:val="heading 5"/>
    <w:basedOn w:val="a"/>
    <w:next w:val="a"/>
    <w:link w:val="50"/>
    <w:qFormat/>
    <w:rsid w:val="00545F85"/>
    <w:pPr>
      <w:keepNext/>
      <w:spacing w:before="288" w:line="240" w:lineRule="atLeast"/>
      <w:ind w:left="0" w:firstLine="0"/>
      <w:jc w:val="center"/>
      <w:outlineLvl w:val="4"/>
    </w:pPr>
    <w:rPr>
      <w:b/>
      <w:sz w:val="50"/>
    </w:rPr>
  </w:style>
  <w:style w:type="paragraph" w:styleId="6">
    <w:name w:val="heading 6"/>
    <w:basedOn w:val="a"/>
    <w:next w:val="a"/>
    <w:link w:val="60"/>
    <w:semiHidden/>
    <w:unhideWhenUsed/>
    <w:qFormat/>
    <w:rsid w:val="003273F1"/>
    <w:pPr>
      <w:spacing w:before="240" w:after="60"/>
      <w:outlineLvl w:val="5"/>
    </w:pPr>
    <w:rPr>
      <w:rFonts w:ascii="Calibri" w:hAnsi="Calibri"/>
      <w:b/>
      <w:bCs/>
      <w:sz w:val="22"/>
      <w:szCs w:val="22"/>
    </w:rPr>
  </w:style>
  <w:style w:type="paragraph" w:styleId="7">
    <w:name w:val="heading 7"/>
    <w:basedOn w:val="a"/>
    <w:next w:val="a"/>
    <w:link w:val="70"/>
    <w:semiHidden/>
    <w:unhideWhenUsed/>
    <w:qFormat/>
    <w:rsid w:val="003273F1"/>
    <w:pPr>
      <w:spacing w:before="240" w:after="60"/>
      <w:outlineLvl w:val="6"/>
    </w:pPr>
    <w:rPr>
      <w:rFonts w:ascii="Calibri" w:hAnsi="Calibri"/>
    </w:rPr>
  </w:style>
  <w:style w:type="paragraph" w:styleId="8">
    <w:name w:val="heading 8"/>
    <w:basedOn w:val="a"/>
    <w:next w:val="a"/>
    <w:link w:val="80"/>
    <w:semiHidden/>
    <w:unhideWhenUsed/>
    <w:qFormat/>
    <w:rsid w:val="003273F1"/>
    <w:pPr>
      <w:spacing w:before="240" w:after="60"/>
      <w:outlineLvl w:val="7"/>
    </w:pPr>
    <w:rPr>
      <w:rFonts w:ascii="Calibri" w:hAnsi="Calibri"/>
      <w:i/>
      <w:iCs/>
    </w:rPr>
  </w:style>
  <w:style w:type="paragraph" w:styleId="9">
    <w:name w:val="heading 9"/>
    <w:basedOn w:val="a"/>
    <w:next w:val="a"/>
    <w:link w:val="90"/>
    <w:semiHidden/>
    <w:unhideWhenUsed/>
    <w:qFormat/>
    <w:rsid w:val="003273F1"/>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3273F1"/>
    <w:rPr>
      <w:rFonts w:ascii="NTHarmonica" w:hAnsi="NTHarmonica" w:cs="Times New Roman"/>
      <w:b/>
      <w:sz w:val="28"/>
      <w:szCs w:val="20"/>
      <w:lang w:eastAsia="ru-RU"/>
    </w:rPr>
  </w:style>
  <w:style w:type="character" w:customStyle="1" w:styleId="20">
    <w:name w:val="Заголовок 2 Знак"/>
    <w:link w:val="2"/>
    <w:rsid w:val="003273F1"/>
    <w:rPr>
      <w:rFonts w:ascii="NTHarmonica" w:hAnsi="NTHarmonica" w:cs="Times New Roman"/>
      <w:b/>
      <w:sz w:val="28"/>
      <w:szCs w:val="20"/>
      <w:lang w:eastAsia="ru-RU"/>
    </w:rPr>
  </w:style>
  <w:style w:type="character" w:customStyle="1" w:styleId="30">
    <w:name w:val="Заголовок 3 Знак"/>
    <w:link w:val="3"/>
    <w:rsid w:val="003273F1"/>
    <w:rPr>
      <w:rFonts w:ascii="NTHarmonica" w:hAnsi="NTHarmonica" w:cs="Times New Roman"/>
      <w:b/>
      <w:sz w:val="28"/>
      <w:szCs w:val="20"/>
      <w:lang w:eastAsia="ru-RU"/>
    </w:rPr>
  </w:style>
  <w:style w:type="character" w:customStyle="1" w:styleId="40">
    <w:name w:val="Заголовок 4 Знак"/>
    <w:link w:val="4"/>
    <w:rsid w:val="003273F1"/>
    <w:rPr>
      <w:rFonts w:ascii="Compact" w:hAnsi="Compact" w:cs="Times New Roman"/>
      <w:spacing w:val="30"/>
      <w:sz w:val="36"/>
      <w:szCs w:val="20"/>
      <w:lang w:eastAsia="ru-RU"/>
    </w:rPr>
  </w:style>
  <w:style w:type="character" w:customStyle="1" w:styleId="50">
    <w:name w:val="Заголовок 5 Знак"/>
    <w:link w:val="5"/>
    <w:rsid w:val="003273F1"/>
    <w:rPr>
      <w:rFonts w:ascii="NTHarmonica" w:hAnsi="NTHarmonica" w:cs="Times New Roman"/>
      <w:b/>
      <w:sz w:val="50"/>
      <w:szCs w:val="20"/>
      <w:lang w:eastAsia="ru-RU"/>
    </w:rPr>
  </w:style>
  <w:style w:type="character" w:customStyle="1" w:styleId="60">
    <w:name w:val="Заголовок 6 Знак"/>
    <w:link w:val="6"/>
    <w:semiHidden/>
    <w:rsid w:val="003273F1"/>
    <w:rPr>
      <w:rFonts w:ascii="Calibri" w:eastAsia="Times New Roman" w:hAnsi="Calibri" w:cs="Times New Roman"/>
      <w:b/>
      <w:bCs/>
      <w:lang w:eastAsia="ru-RU"/>
    </w:rPr>
  </w:style>
  <w:style w:type="character" w:customStyle="1" w:styleId="70">
    <w:name w:val="Заголовок 7 Знак"/>
    <w:link w:val="7"/>
    <w:semiHidden/>
    <w:rsid w:val="003273F1"/>
    <w:rPr>
      <w:rFonts w:ascii="Calibri" w:eastAsia="Times New Roman" w:hAnsi="Calibri" w:cs="Times New Roman"/>
      <w:sz w:val="24"/>
      <w:szCs w:val="24"/>
      <w:lang w:eastAsia="ru-RU"/>
    </w:rPr>
  </w:style>
  <w:style w:type="character" w:customStyle="1" w:styleId="80">
    <w:name w:val="Заголовок 8 Знак"/>
    <w:link w:val="8"/>
    <w:semiHidden/>
    <w:rsid w:val="003273F1"/>
    <w:rPr>
      <w:rFonts w:ascii="Calibri" w:eastAsia="Times New Roman" w:hAnsi="Calibri" w:cs="Times New Roman"/>
      <w:i/>
      <w:iCs/>
      <w:sz w:val="24"/>
      <w:szCs w:val="24"/>
      <w:lang w:eastAsia="ru-RU"/>
    </w:rPr>
  </w:style>
  <w:style w:type="character" w:customStyle="1" w:styleId="90">
    <w:name w:val="Заголовок 9 Знак"/>
    <w:link w:val="9"/>
    <w:semiHidden/>
    <w:rsid w:val="003273F1"/>
    <w:rPr>
      <w:rFonts w:ascii="Cambria" w:eastAsia="Times New Roman" w:hAnsi="Cambria" w:cs="Times New Roman"/>
      <w:lang w:eastAsia="ru-RU"/>
    </w:rPr>
  </w:style>
  <w:style w:type="paragraph" w:styleId="a3">
    <w:name w:val="TOC Heading"/>
    <w:basedOn w:val="1"/>
    <w:next w:val="a"/>
    <w:uiPriority w:val="39"/>
    <w:semiHidden/>
    <w:unhideWhenUsed/>
    <w:qFormat/>
    <w:rsid w:val="003273F1"/>
    <w:pPr>
      <w:outlineLvl w:val="9"/>
    </w:pPr>
  </w:style>
  <w:style w:type="paragraph" w:styleId="a4">
    <w:name w:val="caption"/>
    <w:basedOn w:val="a"/>
    <w:next w:val="a"/>
    <w:semiHidden/>
    <w:unhideWhenUsed/>
    <w:qFormat/>
    <w:rsid w:val="003273F1"/>
    <w:rPr>
      <w:b/>
      <w:bCs/>
      <w:sz w:val="20"/>
    </w:rPr>
  </w:style>
  <w:style w:type="paragraph" w:styleId="a5">
    <w:name w:val="Bibliography"/>
    <w:basedOn w:val="a"/>
    <w:next w:val="a"/>
    <w:uiPriority w:val="37"/>
    <w:semiHidden/>
    <w:unhideWhenUsed/>
    <w:rsid w:val="003273F1"/>
  </w:style>
  <w:style w:type="paragraph" w:customStyle="1" w:styleId="a6">
    <w:name w:val="адрес_слева"/>
    <w:basedOn w:val="a"/>
    <w:rsid w:val="00997F4C"/>
    <w:pPr>
      <w:spacing w:line="246" w:lineRule="exact"/>
      <w:ind w:left="0" w:firstLine="0"/>
      <w:jc w:val="left"/>
    </w:pPr>
    <w:rPr>
      <w:sz w:val="22"/>
    </w:rPr>
  </w:style>
  <w:style w:type="paragraph" w:styleId="a7">
    <w:name w:val="header"/>
    <w:basedOn w:val="a"/>
    <w:link w:val="a8"/>
    <w:rsid w:val="00545F85"/>
    <w:pPr>
      <w:tabs>
        <w:tab w:val="center" w:pos="4252"/>
        <w:tab w:val="right" w:pos="8504"/>
      </w:tabs>
      <w:spacing w:after="240"/>
      <w:ind w:firstLine="0"/>
      <w:jc w:val="center"/>
    </w:pPr>
  </w:style>
  <w:style w:type="character" w:customStyle="1" w:styleId="a8">
    <w:name w:val="Верхний колонтитул Знак"/>
    <w:basedOn w:val="a0"/>
    <w:link w:val="a7"/>
    <w:rsid w:val="00B67711"/>
    <w:rPr>
      <w:rFonts w:ascii="NTHarmonica" w:hAnsi="NTHarmonica" w:cs="Times New Roman"/>
      <w:sz w:val="28"/>
      <w:szCs w:val="20"/>
      <w:lang w:eastAsia="ru-RU"/>
    </w:rPr>
  </w:style>
  <w:style w:type="paragraph" w:styleId="a9">
    <w:name w:val="footer"/>
    <w:basedOn w:val="a"/>
    <w:link w:val="aa"/>
    <w:rsid w:val="00545F85"/>
    <w:pPr>
      <w:tabs>
        <w:tab w:val="center" w:pos="4252"/>
        <w:tab w:val="right" w:pos="8504"/>
      </w:tabs>
      <w:spacing w:line="240" w:lineRule="atLeast"/>
      <w:ind w:firstLine="0"/>
      <w:jc w:val="left"/>
    </w:pPr>
    <w:rPr>
      <w:sz w:val="10"/>
    </w:rPr>
  </w:style>
  <w:style w:type="character" w:customStyle="1" w:styleId="aa">
    <w:name w:val="Нижний колонтитул Знак"/>
    <w:basedOn w:val="a0"/>
    <w:link w:val="a9"/>
    <w:rsid w:val="00B67711"/>
    <w:rPr>
      <w:rFonts w:ascii="NTHarmonica" w:hAnsi="NTHarmonica" w:cs="Times New Roman"/>
      <w:sz w:val="10"/>
      <w:szCs w:val="20"/>
      <w:lang w:eastAsia="ru-RU"/>
    </w:rPr>
  </w:style>
  <w:style w:type="character" w:styleId="ab">
    <w:name w:val="page number"/>
    <w:basedOn w:val="a0"/>
    <w:rsid w:val="00545F85"/>
  </w:style>
  <w:style w:type="paragraph" w:customStyle="1" w:styleId="ac">
    <w:name w:val="подпись"/>
    <w:basedOn w:val="a"/>
    <w:rsid w:val="00545F85"/>
    <w:pPr>
      <w:tabs>
        <w:tab w:val="left" w:pos="6804"/>
      </w:tabs>
      <w:spacing w:line="240" w:lineRule="atLeast"/>
      <w:ind w:right="5387" w:firstLine="0"/>
      <w:jc w:val="left"/>
    </w:pPr>
  </w:style>
  <w:style w:type="paragraph" w:styleId="ad">
    <w:name w:val="Balloon Text"/>
    <w:basedOn w:val="a"/>
    <w:link w:val="ae"/>
    <w:rsid w:val="00B67711"/>
    <w:pPr>
      <w:spacing w:line="240" w:lineRule="auto"/>
    </w:pPr>
    <w:rPr>
      <w:rFonts w:ascii="Tahoma" w:hAnsi="Tahoma" w:cs="Tahoma"/>
      <w:sz w:val="16"/>
      <w:szCs w:val="16"/>
    </w:rPr>
  </w:style>
  <w:style w:type="character" w:customStyle="1" w:styleId="ae">
    <w:name w:val="Текст выноски Знак"/>
    <w:link w:val="ad"/>
    <w:rsid w:val="00B67711"/>
    <w:rPr>
      <w:rFonts w:ascii="Tahoma" w:hAnsi="Tahoma" w:cs="Tahoma"/>
      <w:sz w:val="16"/>
      <w:szCs w:val="16"/>
      <w:lang w:eastAsia="ru-RU"/>
    </w:rPr>
  </w:style>
  <w:style w:type="paragraph" w:customStyle="1" w:styleId="af">
    <w:name w:val="Москва"/>
    <w:basedOn w:val="a"/>
    <w:rsid w:val="00545F85"/>
    <w:pPr>
      <w:spacing w:line="280" w:lineRule="exact"/>
      <w:ind w:firstLine="0"/>
      <w:jc w:val="left"/>
    </w:pPr>
  </w:style>
  <w:style w:type="paragraph" w:customStyle="1" w:styleId="11">
    <w:name w:val="подпись1"/>
    <w:basedOn w:val="a"/>
    <w:rsid w:val="00545F85"/>
    <w:pPr>
      <w:tabs>
        <w:tab w:val="left" w:pos="6804"/>
      </w:tabs>
      <w:spacing w:line="280" w:lineRule="exact"/>
      <w:ind w:right="3686" w:firstLine="0"/>
      <w:jc w:val="left"/>
    </w:pPr>
    <w:rPr>
      <w:b/>
    </w:rPr>
  </w:style>
  <w:style w:type="character" w:styleId="af0">
    <w:name w:val="Placeholder Text"/>
    <w:basedOn w:val="a0"/>
    <w:uiPriority w:val="99"/>
    <w:semiHidden/>
    <w:rsid w:val="0078182C"/>
    <w:rPr>
      <w:color w:val="808080"/>
    </w:rPr>
  </w:style>
  <w:style w:type="paragraph" w:customStyle="1" w:styleId="af1">
    <w:name w:val="адрес"/>
    <w:basedOn w:val="a"/>
    <w:rsid w:val="00F9160B"/>
    <w:pPr>
      <w:spacing w:line="246" w:lineRule="exact"/>
      <w:ind w:firstLine="0"/>
      <w:jc w:val="left"/>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1350834">
      <w:bodyDiv w:val="1"/>
      <w:marLeft w:val="0"/>
      <w:marRight w:val="0"/>
      <w:marTop w:val="0"/>
      <w:marBottom w:val="0"/>
      <w:divBdr>
        <w:top w:val="none" w:sz="0" w:space="0" w:color="auto"/>
        <w:left w:val="none" w:sz="0" w:space="0" w:color="auto"/>
        <w:bottom w:val="none" w:sz="0" w:space="0" w:color="auto"/>
        <w:right w:val="none" w:sz="0" w:space="0" w:color="auto"/>
      </w:divBdr>
    </w:div>
    <w:div w:id="644627099">
      <w:bodyDiv w:val="1"/>
      <w:marLeft w:val="0"/>
      <w:marRight w:val="0"/>
      <w:marTop w:val="0"/>
      <w:marBottom w:val="0"/>
      <w:divBdr>
        <w:top w:val="none" w:sz="0" w:space="0" w:color="auto"/>
        <w:left w:val="none" w:sz="0" w:space="0" w:color="auto"/>
        <w:bottom w:val="none" w:sz="0" w:space="0" w:color="auto"/>
        <w:right w:val="none" w:sz="0" w:space="0" w:color="auto"/>
      </w:divBdr>
    </w:div>
    <w:div w:id="2115132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W:\DOC_W\Sh2000X\POSTSF.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B292A272EDF4D4086FACCF913FB236A"/>
        <w:category>
          <w:name w:val="Общие"/>
          <w:gallery w:val="placeholder"/>
        </w:category>
        <w:types>
          <w:type w:val="bbPlcHdr"/>
        </w:types>
        <w:behaviors>
          <w:behavior w:val="content"/>
        </w:behaviors>
        <w:guid w:val="{65BC6D21-4114-45C9-98A2-35BD06E7F379}"/>
      </w:docPartPr>
      <w:docPartBody>
        <w:p w:rsidR="002262A9" w:rsidRDefault="002262A9">
          <w:pPr>
            <w:pStyle w:val="4B292A272EDF4D4086FACCF913FB236A"/>
          </w:pPr>
          <w:r w:rsidRPr="00B767FE">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NTHarmonica">
    <w:panose1 w:val="02000503000000020004"/>
    <w:charset w:val="CC"/>
    <w:family w:val="auto"/>
    <w:pitch w:val="variable"/>
    <w:sig w:usb0="00000203" w:usb1="00000000" w:usb2="00000000" w:usb3="00000000" w:csb0="00000005" w:csb1="00000000"/>
  </w:font>
  <w:font w:name="Compact">
    <w:panose1 w:val="02000506000000020004"/>
    <w:charset w:val="CC"/>
    <w:family w:val="auto"/>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2A9"/>
    <w:rsid w:val="000B2A35"/>
    <w:rsid w:val="002262A9"/>
    <w:rsid w:val="00266879"/>
    <w:rsid w:val="002F501E"/>
    <w:rsid w:val="004C3980"/>
    <w:rsid w:val="004E4AF3"/>
    <w:rsid w:val="00557D48"/>
    <w:rsid w:val="007F3B58"/>
    <w:rsid w:val="008272C0"/>
    <w:rsid w:val="009F7B1C"/>
    <w:rsid w:val="00A25E4D"/>
    <w:rsid w:val="00B93003"/>
    <w:rsid w:val="00CE2307"/>
    <w:rsid w:val="00FA20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4B292A272EDF4D4086FACCF913FB236A">
    <w:name w:val="4B292A272EDF4D4086FACCF913FB23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POSTSF.dotx</Template>
  <TotalTime>8</TotalTime>
  <Pages>8</Pages>
  <Words>2062</Words>
  <Characters>11756</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Постановление (проект постановления)</vt:lpstr>
    </vt:vector>
  </TitlesOfParts>
  <Company>udp</Company>
  <LinksUpToDate>false</LinksUpToDate>
  <CharactersWithSpaces>13791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(проект постановления)</dc:title>
  <dc:subject>Комитет по федеративному устройству, региональной политике, местному самоуправлению и делам Севера</dc:subject>
  <dc:creator>Заказчик - Жигалов+</dc:creator>
  <cp:keywords/>
  <dc:description>SA26.02.2026 SA26.02.2026 QA02.03.2026EQ03.03.2026 DE03.03.2026EQ03.03.2026 ZO03.03.2026ZO13.03.2026 SA16.03.2026 SA16.03.2026 ZO17.03.2026 DE17.03.2026 DE17.03.2026 ZO17.03.2026 ZO17.03.2026 ZO17.03.2026ZO17.03.2026 EQ17.03.2026 EQ17.03.2026 </dc:description>
  <cp:lastModifiedBy>Алябьева Е.С.</cp:lastModifiedBy>
  <cp:revision>11</cp:revision>
  <cp:lastPrinted>2026-03-18T10:53:00Z</cp:lastPrinted>
  <dcterms:created xsi:type="dcterms:W3CDTF">2026-03-17T12:01:00Z</dcterms:created>
  <dcterms:modified xsi:type="dcterms:W3CDTF">2026-03-18T11:47:00Z</dcterms:modified>
</cp:coreProperties>
</file>