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DB1255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10460156912429591589081B8E6BF6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9C0607" w:rsidRPr="009C0607" w:rsidRDefault="009C0607" w:rsidP="00CF27C2">
            <w:pPr>
              <w:pStyle w:val="a6"/>
            </w:pPr>
          </w:p>
        </w:tc>
      </w:tr>
      <w:tr w:rsidR="00545F85" w:rsidRPr="00545F85" w:rsidTr="00DB1255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10460156912429591589081B8E6BF6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35550" w:rsidRPr="009C0607" w:rsidRDefault="00B35550" w:rsidP="00B35550">
      <w:pPr>
        <w:pStyle w:val="1"/>
      </w:pPr>
      <w:r w:rsidRPr="009C0607">
        <w:t>Цифровая и технологическая</w:t>
      </w:r>
    </w:p>
    <w:p w:rsidR="00B35550" w:rsidRPr="009C0607" w:rsidRDefault="00B35550" w:rsidP="00B35550">
      <w:pPr>
        <w:pStyle w:val="2"/>
      </w:pPr>
      <w:r w:rsidRPr="009C0607">
        <w:t xml:space="preserve">трансформация транспортного комплекса </w:t>
      </w:r>
    </w:p>
    <w:p w:rsidR="00B35550" w:rsidRPr="009C0607" w:rsidRDefault="00B35550" w:rsidP="00B35550">
      <w:pPr>
        <w:pStyle w:val="2"/>
      </w:pPr>
      <w:r w:rsidRPr="009C0607">
        <w:t>Российской Федерации</w:t>
      </w:r>
    </w:p>
    <w:p w:rsidR="00B35550" w:rsidRPr="009C0607" w:rsidRDefault="00B35550" w:rsidP="00B35550">
      <w:pPr>
        <w:pStyle w:val="2"/>
      </w:pPr>
    </w:p>
    <w:p w:rsidR="00B35550" w:rsidRDefault="00B35550" w:rsidP="00B35550">
      <w:pPr>
        <w:pStyle w:val="2"/>
      </w:pPr>
    </w:p>
    <w:p w:rsidR="00B35550" w:rsidRPr="009C0607" w:rsidRDefault="00B35550" w:rsidP="00B35550">
      <w:pPr>
        <w:pStyle w:val="2"/>
      </w:pPr>
    </w:p>
    <w:p w:rsidR="00B35550" w:rsidRPr="009C0607" w:rsidRDefault="00B35550" w:rsidP="00B35550">
      <w:r w:rsidRPr="009C0607">
        <w:t>Заслушав информацию Министра транспорта Российской Федерации</w:t>
      </w:r>
      <w:r>
        <w:t xml:space="preserve"> по вопросу</w:t>
      </w:r>
      <w:r w:rsidRPr="009C0607">
        <w:t xml:space="preserve"> </w:t>
      </w:r>
      <w:r>
        <w:t>"Ц</w:t>
      </w:r>
      <w:r w:rsidRPr="009C0607">
        <w:t>ифров</w:t>
      </w:r>
      <w:r>
        <w:t>ая</w:t>
      </w:r>
      <w:r w:rsidRPr="009C0607">
        <w:t xml:space="preserve"> и технологическ</w:t>
      </w:r>
      <w:r>
        <w:t>ая</w:t>
      </w:r>
      <w:r w:rsidRPr="009C0607">
        <w:t xml:space="preserve"> трансформаци</w:t>
      </w:r>
      <w:r>
        <w:t>я</w:t>
      </w:r>
      <w:r w:rsidRPr="009C0607">
        <w:t xml:space="preserve"> транспортного комплекса Российской Федерации</w:t>
      </w:r>
      <w:r>
        <w:t>"</w:t>
      </w:r>
      <w:r w:rsidRPr="009C0607">
        <w:t xml:space="preserve">, </w:t>
      </w:r>
      <w:r w:rsidRPr="009C0607">
        <w:br/>
        <w:t>Совет Федерации Федерального Собрания Российской Федерации отмечает следующее.</w:t>
      </w:r>
    </w:p>
    <w:p w:rsidR="00B35550" w:rsidRPr="009C0607" w:rsidRDefault="00B35550" w:rsidP="00B35550">
      <w:r w:rsidRPr="009C0607">
        <w:t>Разработка и внедрение новых цифровых и технологических решений играют ключевую роль в обеспечении дальнейшего развития транспортной системы Российской Федерации, реализации транзитного потенциала и наращивании влияния страны на международном рынке транспортных услуг. Стратегией научно-технологического развития Российской Федерации, утвержденной Указом Президента Российской Федерации от 28 февраля 2024</w:t>
      </w:r>
      <w:r w:rsidRPr="009C0607">
        <w:rPr>
          <w:lang w:val="en-US"/>
        </w:rPr>
        <w:t> </w:t>
      </w:r>
      <w:r w:rsidRPr="009C0607">
        <w:t xml:space="preserve">года № 145,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</w:t>
      </w:r>
      <w:r>
        <w:br/>
      </w:r>
      <w:r w:rsidRPr="009C0607">
        <w:t>а также заняти</w:t>
      </w:r>
      <w:r>
        <w:t>я</w:t>
      </w:r>
      <w:r w:rsidRPr="009C0607">
        <w:t xml:space="preserve"> и удержани</w:t>
      </w:r>
      <w:r>
        <w:t>я</w:t>
      </w:r>
      <w:r w:rsidRPr="009C0607">
        <w:t xml:space="preserve"> лидерских позиций в создании международных транспортно-логистических систем определен</w:t>
      </w:r>
      <w:r>
        <w:t>о</w:t>
      </w:r>
      <w:r w:rsidRPr="009C0607">
        <w:t xml:space="preserve"> </w:t>
      </w:r>
      <w:r>
        <w:br/>
      </w:r>
      <w:r w:rsidRPr="009C0607">
        <w:t xml:space="preserve">в качестве </w:t>
      </w:r>
      <w:r>
        <w:t xml:space="preserve">одного из </w:t>
      </w:r>
      <w:r w:rsidRPr="009C0607">
        <w:t>приоритетов научно-технологического развития страны на ближайшее десятилетие.</w:t>
      </w:r>
    </w:p>
    <w:p w:rsidR="00B35550" w:rsidRPr="009C0607" w:rsidRDefault="00B35550" w:rsidP="00B35550">
      <w:r w:rsidRPr="009C0607">
        <w:t xml:space="preserve">Несмотря на внешнее </w:t>
      </w:r>
      <w:proofErr w:type="spellStart"/>
      <w:r w:rsidRPr="009C0607">
        <w:t>санкционное</w:t>
      </w:r>
      <w:proofErr w:type="spellEnd"/>
      <w:r w:rsidRPr="009C0607">
        <w:t xml:space="preserve"> давление, транспортная система России сохранила устойчивость и способность </w:t>
      </w:r>
      <w:r w:rsidRPr="009C0607">
        <w:br/>
        <w:t xml:space="preserve">адаптироваться к новым вызовам, в том числе благодаря внедрению </w:t>
      </w:r>
      <w:r>
        <w:br/>
      </w:r>
      <w:r w:rsidRPr="009C0607">
        <w:lastRenderedPageBreak/>
        <w:t>современных технологий и своевременному совершенствованию правового регулирования. В 2025 году принято 35 федеральных законов в сфере транспорта.</w:t>
      </w:r>
    </w:p>
    <w:p w:rsidR="00B35550" w:rsidRPr="009C0607" w:rsidRDefault="00B35550" w:rsidP="00B35550">
      <w:r w:rsidRPr="009C0607">
        <w:t xml:space="preserve">Целями цифровой и технологической трансформации транспортного комплекса Российской Федерации являются повышение безопасности перевозок, сокращение транзакционных издержек при их организации, рациональное использование </w:t>
      </w:r>
      <w:r>
        <w:br/>
      </w:r>
      <w:r w:rsidRPr="009C0607">
        <w:t xml:space="preserve">и развитие транспортной инфраструктуры с учетом формирования транспортно-экономического баланса Российской Федерации. Важнейшими инструментами </w:t>
      </w:r>
      <w:r>
        <w:t xml:space="preserve">реализации этих целей </w:t>
      </w:r>
      <w:r w:rsidRPr="009C0607">
        <w:t xml:space="preserve">призваны стать национальная цифровая транспортно-логистическая платформа Российской Федерации </w:t>
      </w:r>
      <w:r>
        <w:t>"</w:t>
      </w:r>
      <w:proofErr w:type="spellStart"/>
      <w:r w:rsidRPr="009C0607">
        <w:t>ГосЛог</w:t>
      </w:r>
      <w:proofErr w:type="spellEnd"/>
      <w:r>
        <w:t>"</w:t>
      </w:r>
      <w:r w:rsidRPr="009C0607">
        <w:t xml:space="preserve"> (далее – платформа </w:t>
      </w:r>
      <w:r>
        <w:t>"</w:t>
      </w:r>
      <w:proofErr w:type="spellStart"/>
      <w:r w:rsidRPr="009C0607">
        <w:t>ГосЛог</w:t>
      </w:r>
      <w:proofErr w:type="spellEnd"/>
      <w:r>
        <w:t>"</w:t>
      </w:r>
      <w:r w:rsidRPr="009C0607">
        <w:t>), включающая реестр уведомлений о транспортно-экспедиционной деятельности и реестр перевозчиков грузов автомобильным транспортом по территории Российской Федерации, государственная информационная система электронных перевозочных документов и система отслеживания перевозок товаров с использованием навигационных пломб.</w:t>
      </w:r>
    </w:p>
    <w:p w:rsidR="00B35550" w:rsidRPr="009C0607" w:rsidRDefault="00B35550" w:rsidP="00B35550">
      <w:r w:rsidRPr="009C0607">
        <w:t xml:space="preserve">Для повышения эффективности и безопасности транспортного комплекса Российской Федерации реализуются также проекты по использованию автономных транспортных средств, в том числе на международных маршрутах, по развитию технологий цифрового управления процессами перевозок </w:t>
      </w:r>
      <w:r w:rsidRPr="009C0607">
        <w:br/>
        <w:t>и транспортными системами, внедрению искусственного интеллекта на транспорте, развитию высокоскоростных железнодорожных магистралей.</w:t>
      </w:r>
    </w:p>
    <w:p w:rsidR="00B35550" w:rsidRPr="009C0607" w:rsidRDefault="00B35550" w:rsidP="00B35550">
      <w:r w:rsidRPr="009C0607">
        <w:t xml:space="preserve">Вместе с тем предстоит решить ряд системных задач, среди которых: обеспечение функционирования платформы </w:t>
      </w:r>
      <w:r>
        <w:t>"</w:t>
      </w:r>
      <w:proofErr w:type="spellStart"/>
      <w:r w:rsidRPr="009C0607">
        <w:t>ГосЛог</w:t>
      </w:r>
      <w:proofErr w:type="spellEnd"/>
      <w:r>
        <w:t>"</w:t>
      </w:r>
      <w:r w:rsidRPr="009C0607">
        <w:t xml:space="preserve">; повышение уровня защищенности объектов критической информационной инфраструктуры транспортной отрасли </w:t>
      </w:r>
      <w:r>
        <w:br/>
      </w:r>
      <w:r w:rsidRPr="009C0607">
        <w:t xml:space="preserve">от </w:t>
      </w:r>
      <w:proofErr w:type="spellStart"/>
      <w:r w:rsidRPr="009C0607">
        <w:t>киберугроз</w:t>
      </w:r>
      <w:proofErr w:type="spellEnd"/>
      <w:r w:rsidRPr="009C0607">
        <w:t xml:space="preserve">, обеспечение технологической независимости указанных объектов, включая </w:t>
      </w:r>
      <w:proofErr w:type="spellStart"/>
      <w:r w:rsidRPr="009C0607">
        <w:t>импортозамещение</w:t>
      </w:r>
      <w:proofErr w:type="spellEnd"/>
      <w:r w:rsidRPr="009C0607">
        <w:t xml:space="preserve"> необходимого программного обеспечения, используемого для управления движением транспортных средств; предоставление возможности цифрового подтверждения права на бесплатный или льготный проезд всем категориям получателей мер социальной поддержки</w:t>
      </w:r>
      <w:r>
        <w:t xml:space="preserve"> по оплате проезда</w:t>
      </w:r>
      <w:r w:rsidRPr="009C0607">
        <w:t xml:space="preserve">; создание единой системы идентификации беспилотных авиационных систем и высокоавтоматизированных </w:t>
      </w:r>
      <w:r>
        <w:br/>
      </w:r>
      <w:r w:rsidRPr="009C0607">
        <w:t xml:space="preserve">транспортных средств, а также формирование правовой основы </w:t>
      </w:r>
      <w:r w:rsidRPr="009C0607">
        <w:lastRenderedPageBreak/>
        <w:t>развития указанных транспортных средств; техническое перевооружение пунктов пропуска через государственную границу Российской Федерации (далее – пункт</w:t>
      </w:r>
      <w:r>
        <w:t>ы</w:t>
      </w:r>
      <w:r w:rsidRPr="009C0607">
        <w:t xml:space="preserve"> пропуска), в том числе внедрение цифровых средств контроля.</w:t>
      </w:r>
    </w:p>
    <w:p w:rsidR="00B35550" w:rsidRDefault="00B35550" w:rsidP="00B35550">
      <w:r w:rsidRPr="009C0607">
        <w:t xml:space="preserve">С учетом изложенного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B35550" w:rsidRDefault="00B35550" w:rsidP="00B35550"/>
    <w:p w:rsidR="00B35550" w:rsidRPr="009C0607" w:rsidRDefault="00B35550" w:rsidP="00B35550">
      <w:r w:rsidRPr="009C0607">
        <w:t>1. Принять к сведению информацию Министра транспорта Российской Федерации</w:t>
      </w:r>
      <w:r>
        <w:t xml:space="preserve"> по вопросу</w:t>
      </w:r>
      <w:r w:rsidRPr="009C0607">
        <w:t xml:space="preserve"> </w:t>
      </w:r>
      <w:r>
        <w:t>"Ц</w:t>
      </w:r>
      <w:r w:rsidRPr="009C0607">
        <w:t>ифров</w:t>
      </w:r>
      <w:r>
        <w:t>ая</w:t>
      </w:r>
      <w:r w:rsidRPr="009C0607">
        <w:t xml:space="preserve"> и технологическ</w:t>
      </w:r>
      <w:r>
        <w:t>ая</w:t>
      </w:r>
      <w:r w:rsidRPr="009C0607">
        <w:t xml:space="preserve"> трансформаци</w:t>
      </w:r>
      <w:r>
        <w:t>я</w:t>
      </w:r>
      <w:r w:rsidRPr="009C0607">
        <w:t xml:space="preserve"> транспортного комплекса Российской Федерации</w:t>
      </w:r>
      <w:r>
        <w:t>"</w:t>
      </w:r>
      <w:r w:rsidRPr="009C0607">
        <w:t>.</w:t>
      </w:r>
    </w:p>
    <w:p w:rsidR="00B35550" w:rsidRPr="009C0607" w:rsidRDefault="00B35550" w:rsidP="00B35550">
      <w:r w:rsidRPr="009C0607">
        <w:t>2. Рекомендовать Государственной Думе Федерального Собрания Российской Федерации:</w:t>
      </w:r>
    </w:p>
    <w:p w:rsidR="00B35550" w:rsidRDefault="00B35550" w:rsidP="00B35550">
      <w:r w:rsidRPr="009C0607">
        <w:t xml:space="preserve">1) рассмотреть в период весенней сессии 2026 года следующие проекты федеральных законов: </w:t>
      </w:r>
    </w:p>
    <w:p w:rsidR="00B35550" w:rsidRPr="009C0607" w:rsidRDefault="00B35550" w:rsidP="00B35550">
      <w:r w:rsidRPr="009C0607">
        <w:t xml:space="preserve">№ 1172333-8 </w:t>
      </w:r>
      <w:r>
        <w:t>"О </w:t>
      </w:r>
      <w:r w:rsidRPr="009C0607">
        <w:t>внесении изменений в отдельные законодательные акты Российской Федерации</w:t>
      </w:r>
      <w:r>
        <w:t>"</w:t>
      </w:r>
      <w:r w:rsidRPr="009C0607">
        <w:t xml:space="preserve"> (о предоставлении автомобильными перевозчиками информации в целях обеспечения пропуска через Государственную границу);</w:t>
      </w:r>
    </w:p>
    <w:p w:rsidR="00B35550" w:rsidRPr="009C0607" w:rsidRDefault="00B35550" w:rsidP="00B35550">
      <w:r w:rsidRPr="009C0607">
        <w:t xml:space="preserve">№ 1174838-8 </w:t>
      </w:r>
      <w:r>
        <w:t>"О </w:t>
      </w:r>
      <w:r w:rsidRPr="009C0607">
        <w:t xml:space="preserve">внесении изменений в Федеральный закон </w:t>
      </w:r>
      <w:r>
        <w:t>"О </w:t>
      </w:r>
      <w:r w:rsidRPr="009C0607">
        <w:t>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</w:t>
      </w:r>
      <w:r>
        <w:t>"</w:t>
      </w:r>
      <w:r w:rsidRPr="009C0607">
        <w:t xml:space="preserve"> и Федеральный закон </w:t>
      </w:r>
      <w:r>
        <w:t>"</w:t>
      </w:r>
      <w:r w:rsidRPr="009C0607">
        <w:t>Устав железнодорожного транспорта Российской Федерации</w:t>
      </w:r>
      <w:r>
        <w:t>"</w:t>
      </w:r>
      <w:r w:rsidRPr="009C0607">
        <w:t xml:space="preserve"> (об использовании навигационных пломб при осуществлении международных автомобильных и железнодорожных перевозок);</w:t>
      </w:r>
    </w:p>
    <w:p w:rsidR="00B35550" w:rsidRPr="009C0607" w:rsidRDefault="00B35550" w:rsidP="00B35550">
      <w:r w:rsidRPr="009C0607">
        <w:t>2) рассмотреть в период осенней сессии 2026 года следующие проекты федеральных законов:</w:t>
      </w:r>
    </w:p>
    <w:p w:rsidR="00B35550" w:rsidRPr="009C0607" w:rsidRDefault="00B35550" w:rsidP="00B35550">
      <w:r w:rsidRPr="009C0607">
        <w:t xml:space="preserve">№ 959283-8 </w:t>
      </w:r>
      <w:r>
        <w:t>"О </w:t>
      </w:r>
      <w:r w:rsidRPr="009C0607">
        <w:t xml:space="preserve">внесении изменений в Федеральный закон </w:t>
      </w:r>
      <w:r>
        <w:t>"Об </w:t>
      </w:r>
      <w:r w:rsidRPr="009C0607">
        <w:t xml:space="preserve">автомобильных дорогах и о дорожной деятельности </w:t>
      </w:r>
      <w:r w:rsidRPr="009C0607">
        <w:br/>
        <w:t>в Российской Федерации и о внесении изменений в отдельные законодательные акты Российской Федерации</w:t>
      </w:r>
      <w:r>
        <w:t>"</w:t>
      </w:r>
      <w:r w:rsidRPr="009C0607">
        <w:t xml:space="preserve"> (об уточнении положений законодательства о движении тяжеловесных </w:t>
      </w:r>
      <w:r w:rsidRPr="009C0607">
        <w:br/>
        <w:t>и крупногабаритных транспортных средств по автомобильным дорогам);</w:t>
      </w:r>
    </w:p>
    <w:p w:rsidR="00B35550" w:rsidRDefault="00B35550" w:rsidP="00B35550">
      <w:r w:rsidRPr="009C0607">
        <w:t xml:space="preserve">№ 1173687-8 </w:t>
      </w:r>
      <w:r>
        <w:t>"О </w:t>
      </w:r>
      <w:r w:rsidRPr="009C0607">
        <w:t xml:space="preserve">внесении изменений в Федеральный закон </w:t>
      </w:r>
      <w:r>
        <w:t>"Об </w:t>
      </w:r>
      <w:r w:rsidRPr="009C0607">
        <w:t xml:space="preserve">автомобильных дорогах и о дорожной деятельности </w:t>
      </w:r>
      <w:r>
        <w:br/>
      </w:r>
      <w:r>
        <w:br w:type="page"/>
      </w:r>
    </w:p>
    <w:p w:rsidR="00B35550" w:rsidRPr="009C0607" w:rsidRDefault="00B35550" w:rsidP="00B35550">
      <w:pPr>
        <w:ind w:firstLine="0"/>
      </w:pPr>
      <w:r w:rsidRPr="009C0607">
        <w:lastRenderedPageBreak/>
        <w:t>в Российской Федерации и о внесении изменений в отдельные законодательные акты Российской Федерации</w:t>
      </w:r>
      <w:r>
        <w:t>"</w:t>
      </w:r>
      <w:r w:rsidRPr="009C0607">
        <w:t xml:space="preserve"> и отдельные законодательные акты Российской Федерации</w:t>
      </w:r>
      <w:r>
        <w:t>"</w:t>
      </w:r>
      <w:r w:rsidRPr="009C0607">
        <w:t xml:space="preserve"> (о введении временных ограничений или прекращения движения транспортных средств по автомобильным дорогам).</w:t>
      </w:r>
    </w:p>
    <w:p w:rsidR="00B35550" w:rsidRPr="009C0607" w:rsidRDefault="00B35550" w:rsidP="00B35550">
      <w:r w:rsidRPr="009C0607">
        <w:t>3. Рекомендовать Правительству Российской Федерации:</w:t>
      </w:r>
    </w:p>
    <w:p w:rsidR="00B35550" w:rsidRDefault="00B35550" w:rsidP="00B35550">
      <w:r w:rsidRPr="009C0607">
        <w:t xml:space="preserve">1) ускорить внесение в Государственную Думу Федерального Собрания Российской Федерации проекта федерального закона </w:t>
      </w:r>
      <w:r>
        <w:t>"О </w:t>
      </w:r>
      <w:r w:rsidRPr="009C0607">
        <w:t xml:space="preserve">высокоавтоматизированных транспортных средствах </w:t>
      </w:r>
      <w:r w:rsidRPr="009C0607">
        <w:br/>
        <w:t>и о внесении изменений в отдельные законодательные акты Российской Федерации</w:t>
      </w:r>
      <w:r>
        <w:t>"</w:t>
      </w:r>
      <w:r w:rsidRPr="009C0607">
        <w:t>;</w:t>
      </w:r>
    </w:p>
    <w:p w:rsidR="00B35550" w:rsidRPr="009C0607" w:rsidRDefault="00B35550" w:rsidP="00B35550">
      <w:r>
        <w:t>2) </w:t>
      </w:r>
      <w:r w:rsidRPr="000D0A52">
        <w:t xml:space="preserve">ускорить в рамках реализации Стратегии развития беспилотной авиации Российской Федерации на период </w:t>
      </w:r>
      <w:r>
        <w:br/>
      </w:r>
      <w:r w:rsidRPr="000D0A52">
        <w:t>до 2030 года и на перспективу до 2035 года, утвержденной распоряжением Правительства Российской Федерации от 21 июня 2023 года №</w:t>
      </w:r>
      <w:r>
        <w:t> </w:t>
      </w:r>
      <w:r w:rsidRPr="000D0A52">
        <w:t xml:space="preserve">1630-р, разработку проектов федеральных законов, предусматривающих внесение изменений в Лесной кодекс Российской Федерации, Земельный кодекс Российской Федерации, федеральные законы, регулирующие лесные, земельные отношения, и иных нормативных правовых актов, направленных на создание условий для широкого применения беспилотных летательных аппаратов в гражданских целях, в том числе для решения задач в области лесного и сельского хозяйства, охраны </w:t>
      </w:r>
      <w:r>
        <w:br/>
      </w:r>
      <w:r w:rsidRPr="000D0A52">
        <w:t>и использования земель, включая проведение контрольных (надзорных) мероприятий</w:t>
      </w:r>
      <w:r>
        <w:t>;</w:t>
      </w:r>
    </w:p>
    <w:p w:rsidR="00B35550" w:rsidRPr="009C0607" w:rsidRDefault="00B35550" w:rsidP="00B35550">
      <w:r>
        <w:t>3</w:t>
      </w:r>
      <w:r w:rsidRPr="009C0607">
        <w:t xml:space="preserve">) обеспечить разработку проекта федерального закона </w:t>
      </w:r>
      <w:r w:rsidRPr="009C0607">
        <w:br/>
        <w:t xml:space="preserve">о </w:t>
      </w:r>
      <w:proofErr w:type="spellStart"/>
      <w:r w:rsidRPr="009C0607">
        <w:t>тахографическом</w:t>
      </w:r>
      <w:proofErr w:type="spellEnd"/>
      <w:r w:rsidRPr="009C0607">
        <w:t xml:space="preserve"> контроле, предусмотрев системное регулирование использования </w:t>
      </w:r>
      <w:proofErr w:type="spellStart"/>
      <w:r w:rsidRPr="009C0607">
        <w:t>тахографов</w:t>
      </w:r>
      <w:proofErr w:type="spellEnd"/>
      <w:r w:rsidRPr="009C0607">
        <w:t xml:space="preserve"> и ответственность </w:t>
      </w:r>
      <w:r w:rsidRPr="009C0607">
        <w:br/>
        <w:t xml:space="preserve">за нарушение установленных требований; </w:t>
      </w:r>
    </w:p>
    <w:p w:rsidR="00B35550" w:rsidRPr="009C0607" w:rsidRDefault="00B35550" w:rsidP="00B35550">
      <w:r>
        <w:t>4</w:t>
      </w:r>
      <w:r w:rsidRPr="009C0607">
        <w:t xml:space="preserve">) проработать </w:t>
      </w:r>
      <w:r>
        <w:t xml:space="preserve">предложения </w:t>
      </w:r>
      <w:r w:rsidRPr="009C0607">
        <w:t>Комитет</w:t>
      </w:r>
      <w:r>
        <w:t>а</w:t>
      </w:r>
      <w:r w:rsidRPr="009C0607">
        <w:t xml:space="preserve"> Совета Федерации </w:t>
      </w:r>
      <w:r>
        <w:br/>
      </w:r>
      <w:r w:rsidRPr="009C0607">
        <w:t xml:space="preserve">по экономической политике о внесении изменений </w:t>
      </w:r>
      <w:r w:rsidRPr="009C0607">
        <w:br/>
        <w:t>в законодательство Российской Федерации в части:</w:t>
      </w:r>
    </w:p>
    <w:p w:rsidR="00B35550" w:rsidRDefault="00B35550" w:rsidP="00B35550">
      <w:r w:rsidRPr="009C0607">
        <w:t xml:space="preserve">наделения Правительства Российской Федерации полномочием по утверждению общих требований к размещению, функционированию, оборудованию и техническому оснащению мест прибытия товаров в Российскую Федерацию и убытия товаров </w:t>
      </w:r>
      <w:r>
        <w:br/>
      </w:r>
      <w:r>
        <w:br w:type="page"/>
      </w:r>
    </w:p>
    <w:p w:rsidR="00B35550" w:rsidRPr="009C0607" w:rsidRDefault="00B35550" w:rsidP="00B35550">
      <w:pPr>
        <w:ind w:firstLine="0"/>
      </w:pPr>
      <w:r w:rsidRPr="009C0607">
        <w:lastRenderedPageBreak/>
        <w:t>из Российской Федерации, не являющихся местами перемещения товаров в соответствии с Таможенным кодексом Евразийского экономического союза;</w:t>
      </w:r>
    </w:p>
    <w:p w:rsidR="00B35550" w:rsidRPr="009C0607" w:rsidRDefault="00B35550" w:rsidP="00B35550">
      <w:r w:rsidRPr="009C0607">
        <w:t xml:space="preserve">предоставления возможности размещения объектов пунктов пропуска на землях сельскохозяйственного назначения, землях лесного фонда, земельных участках в составе таких земель </w:t>
      </w:r>
      <w:r>
        <w:br/>
      </w:r>
      <w:r w:rsidRPr="009C0607">
        <w:t>без изменения вида разрешенного использования таких земельных участков, а также упрощения порядка получения информации, необходимой для архитектурно-строительного проектирования указанных объектов;</w:t>
      </w:r>
    </w:p>
    <w:p w:rsidR="00B35550" w:rsidRPr="009C0607" w:rsidRDefault="00B35550" w:rsidP="00B35550">
      <w:r w:rsidRPr="009C0607">
        <w:t xml:space="preserve">предоставления возможности применения механизма государственно-частного партнерства для </w:t>
      </w:r>
      <w:r w:rsidRPr="00330468">
        <w:t>создания</w:t>
      </w:r>
      <w:r>
        <w:t xml:space="preserve">, </w:t>
      </w:r>
      <w:r w:rsidRPr="00330468">
        <w:t xml:space="preserve">эксплуатации и (или) развития </w:t>
      </w:r>
      <w:r w:rsidRPr="009C0607">
        <w:t xml:space="preserve">платформы </w:t>
      </w:r>
      <w:r>
        <w:t>"</w:t>
      </w:r>
      <w:proofErr w:type="spellStart"/>
      <w:r w:rsidRPr="009C0607">
        <w:t>ГосЛог</w:t>
      </w:r>
      <w:proofErr w:type="spellEnd"/>
      <w:r>
        <w:t>"</w:t>
      </w:r>
      <w:r w:rsidRPr="009C0607">
        <w:t>;</w:t>
      </w:r>
    </w:p>
    <w:p w:rsidR="00B35550" w:rsidRPr="009C0607" w:rsidRDefault="00B35550" w:rsidP="00B35550">
      <w:r w:rsidRPr="009C0607">
        <w:t>усиления административной ответственности за посадку или высадку граждан на ходу поезда либо проезд на подножках, крышах вагонов или в других не приспособленных для проезда пассажиров местах, а равно за самовольную без надобности остановку поезда либо самовольный проезд в грузовом поезде;</w:t>
      </w:r>
    </w:p>
    <w:p w:rsidR="00B35550" w:rsidRPr="009C0607" w:rsidRDefault="00B35550" w:rsidP="00B35550">
      <w:r>
        <w:t>5</w:t>
      </w:r>
      <w:r w:rsidRPr="009C0607">
        <w:t xml:space="preserve">) разработать информационную систему, предназначенную для формирования, обработки и хранения электронных карт маршрутов регулярных перевозок, предусмотренных Федеральным законом </w:t>
      </w:r>
      <w:r>
        <w:t>от 13 июля 2015 года № 220-ФЗ "Об </w:t>
      </w:r>
      <w:r w:rsidRPr="009C0607">
        <w:t xml:space="preserve">организации регулярных перевозок пассажиров и багажа автомобильным транспортом и городским наземным электрическим транспортом </w:t>
      </w:r>
      <w:r>
        <w:br/>
      </w:r>
      <w:r w:rsidRPr="009C0607">
        <w:t>в Российской Федерации и о внесении изменений в отдельные законодательные акты Российской Федерации</w:t>
      </w:r>
      <w:r>
        <w:t>"</w:t>
      </w:r>
      <w:r w:rsidRPr="009C0607">
        <w:t xml:space="preserve"> </w:t>
      </w:r>
      <w:r>
        <w:t>(</w:t>
      </w:r>
      <w:r w:rsidRPr="009C0607">
        <w:t xml:space="preserve">с учетом </w:t>
      </w:r>
      <w:r>
        <w:t xml:space="preserve">вступающих в силу с 1 сентября 2026 года </w:t>
      </w:r>
      <w:r w:rsidRPr="009C0607">
        <w:t xml:space="preserve">изменений, </w:t>
      </w:r>
      <w:r>
        <w:t>внесенных</w:t>
      </w:r>
      <w:r w:rsidRPr="009C0607">
        <w:t xml:space="preserve"> Федеральным законом от 31 июля 2025 года</w:t>
      </w:r>
      <w:r>
        <w:t xml:space="preserve"> № </w:t>
      </w:r>
      <w:r w:rsidRPr="009C0607">
        <w:t xml:space="preserve">304-ФЗ </w:t>
      </w:r>
      <w:r>
        <w:t>"О </w:t>
      </w:r>
      <w:r w:rsidRPr="009C0607">
        <w:t>внесении изменений в отдельные законодательные акты Российской Федерации</w:t>
      </w:r>
      <w:r>
        <w:t>", в части оформления карты маршрута регулярных перевозок в форме электронного документа);</w:t>
      </w:r>
    </w:p>
    <w:p w:rsidR="00B35550" w:rsidRPr="009C0607" w:rsidRDefault="00B35550" w:rsidP="00B35550">
      <w:r>
        <w:t>6</w:t>
      </w:r>
      <w:r w:rsidRPr="009C0607">
        <w:t>) предусмотреть при формировании проекта федерального бюджета на 2027 год и на плановый период 2028 и 2029 годов выделение бюджетных ассигнований:</w:t>
      </w:r>
    </w:p>
    <w:p w:rsidR="00B35550" w:rsidRPr="009C0607" w:rsidRDefault="00B35550" w:rsidP="00B35550">
      <w:r w:rsidRPr="009C0607">
        <w:t xml:space="preserve">на развитие и эксплуатацию государственных информационных систем в сфере транспорта, в том числе единой государственной информационной системы обеспечения транспортной безопасности, на реализацию мероприятий </w:t>
      </w:r>
      <w:r w:rsidRPr="009C0607">
        <w:br/>
        <w:t xml:space="preserve">по </w:t>
      </w:r>
      <w:proofErr w:type="spellStart"/>
      <w:r w:rsidRPr="009C0607">
        <w:t>импортозамещению</w:t>
      </w:r>
      <w:proofErr w:type="spellEnd"/>
      <w:r w:rsidRPr="009C0607">
        <w:t xml:space="preserve"> необходимого программного обеспечения </w:t>
      </w:r>
      <w:r w:rsidRPr="009C0607">
        <w:br/>
      </w:r>
      <w:r w:rsidRPr="009C0607">
        <w:lastRenderedPageBreak/>
        <w:t xml:space="preserve">и оборудования, а также на обеспечение функционирования отраслевого центра компетенций в области обеспечения информационной безопасности транспортной отрасли, созданного приказом Министерства транспорта Российской Федерации </w:t>
      </w:r>
      <w:r w:rsidRPr="009C0607">
        <w:br/>
        <w:t>от 6 октября 2023 года №</w:t>
      </w:r>
      <w:r w:rsidRPr="009C0607">
        <w:rPr>
          <w:lang w:val="en-US"/>
        </w:rPr>
        <w:t> </w:t>
      </w:r>
      <w:r w:rsidRPr="009C0607">
        <w:t>338;</w:t>
      </w:r>
    </w:p>
    <w:p w:rsidR="00B35550" w:rsidRPr="009C0607" w:rsidRDefault="00B35550" w:rsidP="00B35550">
      <w:r w:rsidRPr="009C0607">
        <w:t>на завершение мероприятий по обустройству железнодорожного пункта пропуска Илецк-1 в части оснащения наружным освещением и системой видеонаблюдения;</w:t>
      </w:r>
    </w:p>
    <w:p w:rsidR="00B35550" w:rsidRPr="009C0607" w:rsidRDefault="00B35550" w:rsidP="00B35550">
      <w:r w:rsidRPr="009C0607">
        <w:t xml:space="preserve">на реализацию с 2027 года мероприятия </w:t>
      </w:r>
      <w:r>
        <w:t>"</w:t>
      </w:r>
      <w:r w:rsidRPr="009C0607">
        <w:t xml:space="preserve">Строительство улицы Кузбасской дивизии (участок от ул. Юбилейной </w:t>
      </w:r>
      <w:r>
        <w:br/>
      </w:r>
      <w:r w:rsidRPr="009C0607">
        <w:t>до ул. Народной) в городе Пскове</w:t>
      </w:r>
      <w:r>
        <w:t>"</w:t>
      </w:r>
      <w:r w:rsidRPr="009C0607">
        <w:t xml:space="preserve"> для обеспечения транспортной доступности государственного бюджетного учреждения здравоохранения Псковской области </w:t>
      </w:r>
      <w:r>
        <w:t>"</w:t>
      </w:r>
      <w:r w:rsidRPr="009C0607">
        <w:t>Псковский клинический перинатальный центр</w:t>
      </w:r>
      <w:r>
        <w:t>"</w:t>
      </w:r>
      <w:r w:rsidRPr="009C0607">
        <w:t xml:space="preserve">, государственного бюджетного учреждения здравоохранения Псковской области </w:t>
      </w:r>
      <w:r>
        <w:t>"</w:t>
      </w:r>
      <w:r w:rsidRPr="009C0607">
        <w:t>Детская областная клиническая больница</w:t>
      </w:r>
      <w:r>
        <w:t>"</w:t>
      </w:r>
      <w:r w:rsidRPr="009C0607">
        <w:t xml:space="preserve">, государственного бюджетного учреждения здравоохранения Псковской области </w:t>
      </w:r>
      <w:r>
        <w:t>"</w:t>
      </w:r>
      <w:r w:rsidRPr="009C0607">
        <w:t>Псковская областная клиническая больница</w:t>
      </w:r>
      <w:r>
        <w:t>"</w:t>
      </w:r>
      <w:r w:rsidRPr="009C0607">
        <w:t>;</w:t>
      </w:r>
    </w:p>
    <w:p w:rsidR="00B35550" w:rsidRPr="009C0607" w:rsidRDefault="00B35550" w:rsidP="00B35550">
      <w:r>
        <w:t>7) </w:t>
      </w:r>
      <w:r w:rsidRPr="009C0607">
        <w:t xml:space="preserve">рассмотреть возможность включения в разрабатываемый перечень мероприятий по осуществлению дорожной деятельности </w:t>
      </w:r>
      <w:r>
        <w:br/>
        <w:t>в 2027</w:t>
      </w:r>
      <w:r w:rsidRPr="009C0607">
        <w:t xml:space="preserve">–2032 годах в отношении автомобильных дорог общего пользования федерального значения, находящихся в оперативном управлении подведомственных </w:t>
      </w:r>
      <w:r>
        <w:t>Федеральному дорожному агентству</w:t>
      </w:r>
      <w:r w:rsidRPr="009C0607">
        <w:t xml:space="preserve"> федеральных казенных учреждений, мероприяти</w:t>
      </w:r>
      <w:r>
        <w:t>й</w:t>
      </w:r>
      <w:r w:rsidRPr="009C0607">
        <w:t xml:space="preserve"> по строительству автомобильной дороги А-331 </w:t>
      </w:r>
      <w:r>
        <w:t>"</w:t>
      </w:r>
      <w:r w:rsidRPr="009C0607">
        <w:t>Вилюй</w:t>
      </w:r>
      <w:r>
        <w:t>"</w:t>
      </w:r>
      <w:r w:rsidRPr="009C0607">
        <w:t xml:space="preserve"> Тулун – Братск – Усть-Кут – Мирный – Якутск на участке </w:t>
      </w:r>
      <w:r>
        <w:t>"</w:t>
      </w:r>
      <w:r w:rsidRPr="009C0607">
        <w:t>обход Братска</w:t>
      </w:r>
      <w:r>
        <w:t>"</w:t>
      </w:r>
      <w:r w:rsidRPr="009C0607">
        <w:t xml:space="preserve">, км 240+603 – </w:t>
      </w:r>
      <w:r>
        <w:br/>
      </w:r>
      <w:r w:rsidRPr="009C0607">
        <w:t>км 267+000, включая мостовой переход через реку Ангару, указав срок их реализации 2027–2030 годы.</w:t>
      </w:r>
    </w:p>
    <w:p w:rsidR="00B35550" w:rsidRPr="009C0607" w:rsidRDefault="00B35550" w:rsidP="00B35550">
      <w:r w:rsidRPr="009C0607">
        <w:t>4. Рекомендовать Министерству транспорта Российской Федерации:</w:t>
      </w:r>
    </w:p>
    <w:p w:rsidR="00B35550" w:rsidRPr="009C0607" w:rsidRDefault="00B35550" w:rsidP="00B35550">
      <w:r>
        <w:t>1) </w:t>
      </w:r>
      <w:r w:rsidRPr="009C0607">
        <w:t xml:space="preserve">обеспечить достижение к 2030 году на приоритетных автомобильных пунктах пропуска типового времени досмотра грузового транспортного </w:t>
      </w:r>
      <w:r>
        <w:t>средства не более 10 </w:t>
      </w:r>
      <w:r w:rsidRPr="009C0607">
        <w:t>минут;</w:t>
      </w:r>
    </w:p>
    <w:p w:rsidR="00B35550" w:rsidRPr="009C0607" w:rsidRDefault="00B35550" w:rsidP="00B35550">
      <w:r w:rsidRPr="009C0607">
        <w:t>2) проработать вопрос о применении государственной информационной системы электронных перевозочных документов для информационного обеспечения проведения пограничного, таможенного и иных видов контроля в автомобильных пунктах пропуска;</w:t>
      </w:r>
    </w:p>
    <w:p w:rsidR="00B35550" w:rsidRPr="009C0607" w:rsidRDefault="00B35550" w:rsidP="00B35550">
      <w:r w:rsidRPr="009C0607">
        <w:lastRenderedPageBreak/>
        <w:t xml:space="preserve">3) повысить эффективность информационного обеспечения процессов управления транспортно-логистическим комплексом, предусмотрев перспективу расширения функциональных возможностей платформы </w:t>
      </w:r>
      <w:r>
        <w:t>"</w:t>
      </w:r>
      <w:proofErr w:type="spellStart"/>
      <w:r w:rsidRPr="009C0607">
        <w:t>ГосЛог</w:t>
      </w:r>
      <w:proofErr w:type="spellEnd"/>
      <w:r>
        <w:t>"</w:t>
      </w:r>
      <w:r w:rsidRPr="009C0607">
        <w:t xml:space="preserve"> и состава участников информационного взаимодействия, в том числе дальнейшего развития государственной информационной системы электронных перевозочных документов в части расширения перечня видов электронных перевозочных документов и обязательности </w:t>
      </w:r>
      <w:r>
        <w:br/>
      </w:r>
      <w:r w:rsidRPr="009C0607">
        <w:t>их применения;</w:t>
      </w:r>
    </w:p>
    <w:p w:rsidR="00B35550" w:rsidRDefault="00B35550" w:rsidP="00B35550">
      <w:r w:rsidRPr="009C0607">
        <w:t xml:space="preserve">4) оказать содействие Министерству экономического развития Российской Федерации в подготовке до </w:t>
      </w:r>
      <w:r>
        <w:t xml:space="preserve">1 </w:t>
      </w:r>
      <w:r w:rsidRPr="009C0607">
        <w:t>сентября 2026</w:t>
      </w:r>
      <w:r>
        <w:t> </w:t>
      </w:r>
      <w:r w:rsidRPr="009C0607">
        <w:t xml:space="preserve">года проекта постановления Правительства Российской Федерации, </w:t>
      </w:r>
      <w:r>
        <w:t>предусматривающего у</w:t>
      </w:r>
      <w:r w:rsidRPr="009C0607">
        <w:t xml:space="preserve">становление </w:t>
      </w:r>
      <w:r>
        <w:t xml:space="preserve">экспериментального правового режима в сфере цифровых </w:t>
      </w:r>
      <w:r>
        <w:br/>
        <w:t xml:space="preserve">и технологических инноваций и утверждение программы экспериментального правового режима в сфере цифровых </w:t>
      </w:r>
      <w:r>
        <w:br/>
        <w:t xml:space="preserve">и технологических инноваций по эксплуатации высокоавтоматизированной специальной аэропортовой техники </w:t>
      </w:r>
      <w:r>
        <w:br/>
        <w:t>на территории аэропортов,</w:t>
      </w:r>
      <w:r w:rsidRPr="00AA0391">
        <w:t xml:space="preserve"> </w:t>
      </w:r>
      <w:r>
        <w:t>в рамках реализации Федерального закона от</w:t>
      </w:r>
      <w:r w:rsidRPr="00F31638">
        <w:t xml:space="preserve"> 26 июня 2026 года №</w:t>
      </w:r>
      <w:r>
        <w:t> </w:t>
      </w:r>
      <w:r w:rsidRPr="00F31638">
        <w:t>2</w:t>
      </w:r>
      <w:r>
        <w:t>11-ФЗ "О </w:t>
      </w:r>
      <w:r w:rsidRPr="00F31638">
        <w:t xml:space="preserve">внесении изменений </w:t>
      </w:r>
      <w:r>
        <w:br/>
        <w:t>в Федеральный закон "Об </w:t>
      </w:r>
      <w:r w:rsidRPr="00F31638">
        <w:t xml:space="preserve">экспериментальных правовых режимах </w:t>
      </w:r>
      <w:r>
        <w:br/>
      </w:r>
      <w:r w:rsidRPr="00F31638">
        <w:t>в сфере цифровых и технологических инноваций в Российской Федерации"</w:t>
      </w:r>
      <w:r>
        <w:t>;</w:t>
      </w:r>
    </w:p>
    <w:p w:rsidR="00B35550" w:rsidRPr="009C0607" w:rsidRDefault="00B35550" w:rsidP="00B35550">
      <w:r w:rsidRPr="009C0607">
        <w:t>5) рекомендовать организациям, осуществляющи</w:t>
      </w:r>
      <w:r>
        <w:t>м</w:t>
      </w:r>
      <w:r w:rsidRPr="009C0607">
        <w:t xml:space="preserve"> перевозки пассажиров, включить в контент мультимедийных порталов документальные и художественные фильмы о специальной военной операции, а также фильмы, направленные на патриотическое воспитание и </w:t>
      </w:r>
      <w:r>
        <w:rPr>
          <w:bCs/>
        </w:rPr>
        <w:t>продвижение</w:t>
      </w:r>
      <w:r w:rsidRPr="009C0607">
        <w:rPr>
          <w:bCs/>
        </w:rPr>
        <w:t xml:space="preserve"> традиционных </w:t>
      </w:r>
      <w:r>
        <w:rPr>
          <w:bCs/>
        </w:rPr>
        <w:t xml:space="preserve">российских духовно-нравственных и </w:t>
      </w:r>
      <w:r w:rsidRPr="009C0607">
        <w:rPr>
          <w:bCs/>
        </w:rPr>
        <w:t>семейных ценностей</w:t>
      </w:r>
      <w:r w:rsidRPr="009C0607">
        <w:t>.</w:t>
      </w:r>
    </w:p>
    <w:p w:rsidR="00B35550" w:rsidRPr="009C0607" w:rsidRDefault="00B35550" w:rsidP="00B35550">
      <w:r>
        <w:t>5</w:t>
      </w:r>
      <w:r w:rsidRPr="009C0607">
        <w:t xml:space="preserve">. Рекомендовать Министерству транспорта Российской Федерации совместно с Министерством труда и социальной защиты Российской Федерации </w:t>
      </w:r>
      <w:r>
        <w:t xml:space="preserve">и </w:t>
      </w:r>
      <w:r w:rsidRPr="009C0607">
        <w:t xml:space="preserve">при участии Фонда пенсионного и социального страхования Российской Федерации обеспечить информационное взаимодействие между автоматизированной информационной системой управления льготными </w:t>
      </w:r>
      <w:r>
        <w:br/>
      </w:r>
      <w:r w:rsidRPr="009C0607">
        <w:t xml:space="preserve">и субсидированными перевозками и государственной информационной системой </w:t>
      </w:r>
      <w:r>
        <w:t>"</w:t>
      </w:r>
      <w:r w:rsidRPr="009C0607">
        <w:t>Единая централизованная цифровая платформа в социальной сфере</w:t>
      </w:r>
      <w:r>
        <w:t>"</w:t>
      </w:r>
      <w:r w:rsidRPr="009C0607">
        <w:t xml:space="preserve"> в целях реализации права </w:t>
      </w:r>
      <w:r>
        <w:br/>
      </w:r>
      <w:r w:rsidRPr="009C0607">
        <w:t xml:space="preserve">на бесплатный или льготный проезд всех категорий получателей </w:t>
      </w:r>
      <w:r w:rsidRPr="009C0607">
        <w:lastRenderedPageBreak/>
        <w:t>мер социальной поддержки</w:t>
      </w:r>
      <w:r>
        <w:t xml:space="preserve"> по оплате проезда</w:t>
      </w:r>
      <w:r w:rsidRPr="009C0607">
        <w:t>, установленных нормативными правовыми актами субъектов Российской Федерации.</w:t>
      </w:r>
    </w:p>
    <w:p w:rsidR="00B35550" w:rsidRPr="009C0607" w:rsidRDefault="00B35550" w:rsidP="00B35550">
      <w:r>
        <w:t>6</w:t>
      </w:r>
      <w:r w:rsidRPr="009C0607">
        <w:t xml:space="preserve">. Рекомендовать Министерству строительства и жилищно-коммунального хозяйства Российской Федерации совместно </w:t>
      </w:r>
      <w:r w:rsidRPr="009C0607">
        <w:br/>
        <w:t>с Министерством транспорта Российской Федерации:</w:t>
      </w:r>
    </w:p>
    <w:p w:rsidR="00B35550" w:rsidRPr="009C0607" w:rsidRDefault="00B35550" w:rsidP="00B35550">
      <w:r w:rsidRPr="009C0607">
        <w:t>1) проработать вопрос о внесении изменений в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Методику составления сметы контракта, предметом которого являются строительство, реконструкция объектов капитального строительства, утвержденные приказом Министерства строительства и жилищно-коммунального хозяйства Российской Федерации от 23 декабря 2019 года № 841/</w:t>
      </w:r>
      <w:proofErr w:type="spellStart"/>
      <w:r w:rsidRPr="009C0607">
        <w:t>пр</w:t>
      </w:r>
      <w:proofErr w:type="spellEnd"/>
      <w:r w:rsidRPr="009C0607">
        <w:t xml:space="preserve">, в части учета периода выполнения работ при применении индекса прогнозной инфляции исходя из срока действия лимитов бюджетных обязательств, а также в части включения в цену контракта затрат, связанных </w:t>
      </w:r>
      <w:r>
        <w:br/>
      </w:r>
      <w:r w:rsidRPr="009C0607">
        <w:t>с предоставлением независимых гарантий в качестве обеспечения его исполнения;</w:t>
      </w:r>
    </w:p>
    <w:p w:rsidR="00B35550" w:rsidRPr="009C0607" w:rsidRDefault="00B35550" w:rsidP="00B35550">
      <w:r w:rsidRPr="009C0607">
        <w:t xml:space="preserve">2) проработать вопрос об обоснованности изменения цены действующих контрактов на выполнение строительно-монтажных работ в связи с замечаниями контрольных (надзорных) органов </w:t>
      </w:r>
      <w:r>
        <w:br/>
      </w:r>
      <w:r w:rsidRPr="009C0607">
        <w:t xml:space="preserve">к сметной документации, получившей положительное заключение федерального автономного учреждения </w:t>
      </w:r>
      <w:r>
        <w:t>"</w:t>
      </w:r>
      <w:r w:rsidRPr="009C0607">
        <w:t>Главное управление государственной экспертизы</w:t>
      </w:r>
      <w:r>
        <w:t>"</w:t>
      </w:r>
      <w:r w:rsidRPr="009C0607">
        <w:t>.</w:t>
      </w:r>
    </w:p>
    <w:p w:rsidR="00B35550" w:rsidRPr="009C0607" w:rsidRDefault="00B35550" w:rsidP="00B35550">
      <w:r>
        <w:t>7</w:t>
      </w:r>
      <w:r w:rsidRPr="009C0607">
        <w:t xml:space="preserve">. Рекомендовать Федеральной антимонопольной службе совместно с Министерством транспорта Российской Федерации проработать вопрос о </w:t>
      </w:r>
      <w:proofErr w:type="spellStart"/>
      <w:r w:rsidRPr="009C0607">
        <w:t>взаимоувязке</w:t>
      </w:r>
      <w:proofErr w:type="spellEnd"/>
      <w:r w:rsidRPr="009C0607">
        <w:t xml:space="preserve"> роста тарифов, сборов</w:t>
      </w:r>
      <w:r>
        <w:t>,</w:t>
      </w:r>
      <w:r w:rsidRPr="009C0607">
        <w:t xml:space="preserve"> </w:t>
      </w:r>
      <w:r>
        <w:br/>
      </w:r>
      <w:r w:rsidRPr="009C0607">
        <w:t xml:space="preserve">платы в отношении работ (услуг) субъектов естественных монополий в сфере перевозок пассажиров железнодорожным транспортом общего пользования в пригородном сообщении </w:t>
      </w:r>
      <w:r>
        <w:br/>
      </w:r>
      <w:r w:rsidRPr="009C0607">
        <w:t xml:space="preserve">с уровнем индексации </w:t>
      </w:r>
      <w:r>
        <w:t xml:space="preserve">тарифов за проезд пассажиров железнодорожным транспортом общего пользования </w:t>
      </w:r>
      <w:r>
        <w:br/>
        <w:t>в пригородном сообщении.</w:t>
      </w:r>
    </w:p>
    <w:p w:rsidR="00B35550" w:rsidRDefault="00B35550" w:rsidP="00B35550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B35550" w:rsidRPr="00293576" w:rsidRDefault="00B35550" w:rsidP="00B35550">
      <w:r>
        <w:lastRenderedPageBreak/>
        <w:t>8</w:t>
      </w:r>
      <w:r w:rsidRPr="00293576">
        <w:t xml:space="preserve">. Рекомендовать Министерству цифрового развития, связи </w:t>
      </w:r>
      <w:r>
        <w:br/>
      </w:r>
      <w:r w:rsidRPr="00293576">
        <w:t xml:space="preserve">и массовых коммуникаций Российской Федерации совместно </w:t>
      </w:r>
      <w:r w:rsidRPr="00293576">
        <w:br/>
        <w:t xml:space="preserve">с организацией, обеспечивающей создание и функционирование многофункционального сервиса обмена информацией </w:t>
      </w:r>
      <w:r w:rsidRPr="00293576">
        <w:br/>
        <w:t>в соответствии с Федеральным законом</w:t>
      </w:r>
      <w:r>
        <w:t xml:space="preserve"> от 24 июня 2025 года № 156-ФЗ "О </w:t>
      </w:r>
      <w:r w:rsidRPr="00293576">
        <w:t xml:space="preserve">создании многофункционального сервиса обмена информацией и о внесении изменений в отдельные законодательные акты Российской Федерации", принять меры </w:t>
      </w:r>
      <w:r>
        <w:br/>
      </w:r>
      <w:r w:rsidRPr="00293576">
        <w:t xml:space="preserve">по доработке программы для электронных вычислительных машин "Цифровая платформа </w:t>
      </w:r>
      <w:proofErr w:type="spellStart"/>
      <w:r w:rsidRPr="00293576">
        <w:t>MAX</w:t>
      </w:r>
      <w:proofErr w:type="spellEnd"/>
      <w:r w:rsidRPr="00293576">
        <w:t xml:space="preserve">" для поддержки сервиса Цифрового </w:t>
      </w:r>
      <w:proofErr w:type="spellStart"/>
      <w:r w:rsidRPr="00293576">
        <w:t>ID</w:t>
      </w:r>
      <w:proofErr w:type="spellEnd"/>
      <w:r w:rsidRPr="00293576">
        <w:t xml:space="preserve">, включая интеграцию с федеральной государственной информационной системой "Единая система идентификации </w:t>
      </w:r>
      <w:r>
        <w:br/>
      </w:r>
      <w:r w:rsidRPr="00293576"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>
        <w:br/>
      </w:r>
      <w:r w:rsidRPr="00293576">
        <w:t>и создание специализированного интерфейса для льготных категорий пассажиров.</w:t>
      </w:r>
    </w:p>
    <w:p w:rsidR="00B35550" w:rsidRPr="009C0607" w:rsidRDefault="00B35550" w:rsidP="00B35550">
      <w:r>
        <w:t>9. </w:t>
      </w:r>
      <w:r w:rsidRPr="009C0607">
        <w:t>Рекомендовать органам государственной власти субъектов Российской Федерации проработать вопрос о заключении долгосрочных договоров на организацию транспортного обслуживания населения железнодорожным транспортом общего пользования в пригородном сообщении на срок до трех лет.</w:t>
      </w:r>
    </w:p>
    <w:p w:rsidR="00B35550" w:rsidRPr="009C0607" w:rsidRDefault="00B35550" w:rsidP="00B35550">
      <w:r w:rsidRPr="009C0607">
        <w:t xml:space="preserve">10. Комитету Совета Федерации по экономической политике во взаимодействии с Министерством транспорта Российской Федерации проработать вопрос о совершенствовании </w:t>
      </w:r>
      <w:r>
        <w:br/>
      </w:r>
      <w:r w:rsidRPr="009C0607">
        <w:t xml:space="preserve">правового регулирования отношений, возникающих в связи </w:t>
      </w:r>
      <w:r>
        <w:br/>
      </w:r>
      <w:r w:rsidRPr="009C0607">
        <w:t xml:space="preserve">с функционированием Государственной автоматизированной информационной системы </w:t>
      </w:r>
      <w:r>
        <w:t>"</w:t>
      </w:r>
      <w:r w:rsidRPr="009C0607">
        <w:t>ЭРА-</w:t>
      </w:r>
      <w:proofErr w:type="spellStart"/>
      <w:r w:rsidRPr="009C0607">
        <w:t>ГЛОНАСС</w:t>
      </w:r>
      <w:proofErr w:type="spellEnd"/>
      <w:r>
        <w:t>"</w:t>
      </w:r>
      <w:r w:rsidRPr="009C0607">
        <w:t xml:space="preserve">, в части обеспечения удаленной идентификации беспилотных средств и мониторинга </w:t>
      </w:r>
      <w:r w:rsidRPr="009C0607">
        <w:br/>
        <w:t>их движения.</w:t>
      </w:r>
    </w:p>
    <w:p w:rsidR="00B35550" w:rsidRPr="009C0607" w:rsidRDefault="00B35550" w:rsidP="00B35550">
      <w:r w:rsidRPr="009C0607">
        <w:t>11. Предложить Правительству Российской Федерации проинформировать Совет Федерации Федерального Собрания Российской Федерации в третьем квартале 2027 года о ходе реализации рекомендаций, содержащихся в настоящем постановлении.</w:t>
      </w:r>
    </w:p>
    <w:p w:rsidR="00B35550" w:rsidRPr="009C0607" w:rsidRDefault="00B35550" w:rsidP="00B35550">
      <w:r w:rsidRPr="009C0607">
        <w:t xml:space="preserve">12. Комитету Совета Федерации по экономической политике проинформировать палату в период осенней сессии 2027 года </w:t>
      </w:r>
      <w:r w:rsidRPr="009C0607">
        <w:br/>
        <w:t>о реализации настоящего постановления.</w:t>
      </w:r>
    </w:p>
    <w:p w:rsidR="00B35550" w:rsidRPr="009C0607" w:rsidRDefault="00B35550" w:rsidP="00B35550">
      <w:r w:rsidRPr="009C0607">
        <w:lastRenderedPageBreak/>
        <w:t>13. Контроль за исполнением настоящего постановления возложить на Комитет Совета Федерации по экономической политике.</w:t>
      </w:r>
    </w:p>
    <w:p w:rsidR="00B35550" w:rsidRPr="009C0607" w:rsidRDefault="00B35550" w:rsidP="00B35550">
      <w:r w:rsidRPr="009C0607">
        <w:t>14. Настоящее постановление вступает в силу со дня его принятия.</w:t>
      </w:r>
    </w:p>
    <w:p w:rsidR="00B35550" w:rsidRDefault="00B35550" w:rsidP="00B35550"/>
    <w:p w:rsidR="00B35550" w:rsidRDefault="00B35550" w:rsidP="00B35550"/>
    <w:p w:rsidR="00B35550" w:rsidRPr="009C0607" w:rsidRDefault="00B35550" w:rsidP="00B35550"/>
    <w:p w:rsidR="00B35550" w:rsidRDefault="00B35550" w:rsidP="00EA0CC7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B35550" w:rsidRDefault="00B35550" w:rsidP="00B35550">
      <w:pPr>
        <w:pStyle w:val="ac"/>
      </w:pPr>
    </w:p>
    <w:p w:rsidR="00B35550" w:rsidRDefault="00B35550" w:rsidP="00B35550">
      <w:pPr>
        <w:pStyle w:val="ac"/>
      </w:pPr>
    </w:p>
    <w:p w:rsidR="00B35550" w:rsidRDefault="00B35550" w:rsidP="00B35550">
      <w:pPr>
        <w:pStyle w:val="ac"/>
      </w:pPr>
    </w:p>
    <w:p w:rsidR="00B35550" w:rsidRDefault="00B35550" w:rsidP="00545F85">
      <w:pPr>
        <w:pStyle w:val="af"/>
      </w:pPr>
      <w:r>
        <w:t>Москва</w:t>
      </w:r>
    </w:p>
    <w:p w:rsidR="00B35550" w:rsidRDefault="00B35550" w:rsidP="00545F85">
      <w:pPr>
        <w:pStyle w:val="af"/>
      </w:pPr>
      <w:r>
        <w:t>1 июля 2026 года</w:t>
      </w:r>
    </w:p>
    <w:p w:rsidR="00B35550" w:rsidRPr="00B35550" w:rsidRDefault="00B35550" w:rsidP="00B35550">
      <w:pPr>
        <w:pStyle w:val="af"/>
      </w:pPr>
      <w:r>
        <w:t>№ 281-СФ</w:t>
      </w:r>
    </w:p>
    <w:sectPr w:rsidR="00B35550" w:rsidRPr="00B3555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30" w:rsidRDefault="00CF4B30">
      <w:pPr>
        <w:spacing w:line="240" w:lineRule="auto"/>
      </w:pPr>
      <w:r>
        <w:separator/>
      </w:r>
    </w:p>
  </w:endnote>
  <w:endnote w:type="continuationSeparator" w:id="0">
    <w:p w:rsidR="00CF4B30" w:rsidRDefault="00CF4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AE559E8-E361-4F70-BD92-D3EB8449BF87}"/>
    <w:embedBold r:id="rId2" w:fontKey="{A92C6105-C125-4B9A-9C13-D2F6F089C064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B027FD3-54F4-4970-B50B-6999ADF9213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50" w:rsidRPr="00BC0CF0" w:rsidRDefault="00B35550" w:rsidP="00BC0CF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A0CC7">
      <w:rPr>
        <w:noProof/>
      </w:rPr>
      <w:t>zo7823.docx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A0CC7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50" w:rsidRPr="00BC0CF0" w:rsidRDefault="00B35550" w:rsidP="00BC0CF0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EA0CC7">
      <w:rPr>
        <w:noProof/>
      </w:rPr>
      <w:t>zo7823.docx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EA0CC7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30" w:rsidRDefault="00CF4B30">
      <w:pPr>
        <w:spacing w:line="240" w:lineRule="auto"/>
      </w:pPr>
      <w:r>
        <w:separator/>
      </w:r>
    </w:p>
  </w:footnote>
  <w:footnote w:type="continuationSeparator" w:id="0">
    <w:p w:rsidR="00CF4B30" w:rsidRDefault="00CF4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50" w:rsidRDefault="00B35550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5268D">
      <w:rPr>
        <w:rStyle w:val="ab"/>
        <w:noProof/>
      </w:rPr>
      <w:t>10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60"/>
    <w:rsid w:val="00006FFD"/>
    <w:rsid w:val="00086F2B"/>
    <w:rsid w:val="00096FA5"/>
    <w:rsid w:val="000C6FC6"/>
    <w:rsid w:val="000D0A52"/>
    <w:rsid w:val="000D3F67"/>
    <w:rsid w:val="001057BD"/>
    <w:rsid w:val="001421E7"/>
    <w:rsid w:val="00173CAE"/>
    <w:rsid w:val="00205211"/>
    <w:rsid w:val="00206A7E"/>
    <w:rsid w:val="002623D0"/>
    <w:rsid w:val="002A1E3D"/>
    <w:rsid w:val="002B055C"/>
    <w:rsid w:val="002B2A12"/>
    <w:rsid w:val="002B772D"/>
    <w:rsid w:val="002E379A"/>
    <w:rsid w:val="003114B9"/>
    <w:rsid w:val="003273F1"/>
    <w:rsid w:val="0035125E"/>
    <w:rsid w:val="003959CB"/>
    <w:rsid w:val="00423816"/>
    <w:rsid w:val="0045268D"/>
    <w:rsid w:val="0049147D"/>
    <w:rsid w:val="004A68AB"/>
    <w:rsid w:val="004D1DA1"/>
    <w:rsid w:val="005041EB"/>
    <w:rsid w:val="00505068"/>
    <w:rsid w:val="00545F85"/>
    <w:rsid w:val="005B2AEB"/>
    <w:rsid w:val="00603E30"/>
    <w:rsid w:val="00693B56"/>
    <w:rsid w:val="006A5E02"/>
    <w:rsid w:val="006C76AC"/>
    <w:rsid w:val="00720496"/>
    <w:rsid w:val="0072188B"/>
    <w:rsid w:val="00723607"/>
    <w:rsid w:val="00723EF8"/>
    <w:rsid w:val="0078182C"/>
    <w:rsid w:val="007A5B9E"/>
    <w:rsid w:val="00836C00"/>
    <w:rsid w:val="00885B74"/>
    <w:rsid w:val="008C0AF2"/>
    <w:rsid w:val="008C7583"/>
    <w:rsid w:val="00903C49"/>
    <w:rsid w:val="00907882"/>
    <w:rsid w:val="00910EF7"/>
    <w:rsid w:val="009155D5"/>
    <w:rsid w:val="00997F4C"/>
    <w:rsid w:val="009A6316"/>
    <w:rsid w:val="009C0607"/>
    <w:rsid w:val="00A012A6"/>
    <w:rsid w:val="00A638B2"/>
    <w:rsid w:val="00A82E08"/>
    <w:rsid w:val="00AA344E"/>
    <w:rsid w:val="00B07D98"/>
    <w:rsid w:val="00B30B27"/>
    <w:rsid w:val="00B33546"/>
    <w:rsid w:val="00B35550"/>
    <w:rsid w:val="00B67711"/>
    <w:rsid w:val="00B74B4D"/>
    <w:rsid w:val="00BC0CF0"/>
    <w:rsid w:val="00C16BCC"/>
    <w:rsid w:val="00C22AC2"/>
    <w:rsid w:val="00C61332"/>
    <w:rsid w:val="00C82460"/>
    <w:rsid w:val="00CE45FF"/>
    <w:rsid w:val="00CF27C2"/>
    <w:rsid w:val="00CF4B30"/>
    <w:rsid w:val="00CF731B"/>
    <w:rsid w:val="00DA769E"/>
    <w:rsid w:val="00DB1255"/>
    <w:rsid w:val="00DD0964"/>
    <w:rsid w:val="00DF1796"/>
    <w:rsid w:val="00E02685"/>
    <w:rsid w:val="00E95E02"/>
    <w:rsid w:val="00EA0CC7"/>
    <w:rsid w:val="00EB5CCD"/>
    <w:rsid w:val="00EE60DD"/>
    <w:rsid w:val="00EF037D"/>
    <w:rsid w:val="00F003FC"/>
    <w:rsid w:val="00F178A8"/>
    <w:rsid w:val="00F21BB0"/>
    <w:rsid w:val="00F31638"/>
    <w:rsid w:val="00F77FBD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CE566-D090-4E53-A7EF-FF210228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0460156912429591589081B8E6BF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CB8F9-16D3-411C-8E45-FA574A607F39}"/>
      </w:docPartPr>
      <w:docPartBody>
        <w:p w:rsidR="0085203E" w:rsidRDefault="002C387B">
          <w:pPr>
            <w:pStyle w:val="910460156912429591589081B8E6BF6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3E"/>
    <w:rsid w:val="0001759E"/>
    <w:rsid w:val="002C387B"/>
    <w:rsid w:val="004017E0"/>
    <w:rsid w:val="0085203E"/>
    <w:rsid w:val="00AC4185"/>
    <w:rsid w:val="00E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10460156912429591589081B8E6BF6A">
    <w:name w:val="910460156912429591589081B8E6B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67</TotalTime>
  <Pages>10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Световидова+</dc:creator>
  <cp:keywords/>
  <dc:description>ZO27.06.2026EQ29.06.2026 EQ29.06.2026 SA30.06.2026 QA30.06.2026 SA30.06.2026 SA30.06.2026 SA30.06.2026 SA30.06.2026 QA30.06.2026 QA30.06.2026 QA30.06.2026 ZO01.07.2026 QA02.07.2026 QA02.07.2026 QA02.07.2026 </dc:description>
  <cp:lastModifiedBy>Кучерова О.М.</cp:lastModifiedBy>
  <cp:revision>19</cp:revision>
  <cp:lastPrinted>2026-07-02T08:13:00Z</cp:lastPrinted>
  <dcterms:created xsi:type="dcterms:W3CDTF">2026-06-29T15:41:00Z</dcterms:created>
  <dcterms:modified xsi:type="dcterms:W3CDTF">2026-07-02T08:28:00Z</dcterms:modified>
</cp:coreProperties>
</file>