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06A2B630CD5446EBFD163C838E35C8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21851" w:rsidRDefault="00545F85" w:rsidP="0002185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06A2B630CD5446EBFD163C838E35C8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33027" w:rsidRDefault="00C33027" w:rsidP="00C33027">
      <w:pPr>
        <w:pStyle w:val="1"/>
      </w:pPr>
      <w:r>
        <w:t>Об отчете о работе Счетной палаты</w:t>
      </w:r>
    </w:p>
    <w:p w:rsidR="00C33027" w:rsidRDefault="00C33027" w:rsidP="00C33027">
      <w:pPr>
        <w:pStyle w:val="2"/>
      </w:pPr>
      <w:r>
        <w:t>Российской Федерации в 2025 году</w:t>
      </w:r>
    </w:p>
    <w:p w:rsidR="00C33027" w:rsidRDefault="00C33027" w:rsidP="00C33027">
      <w:pPr>
        <w:pStyle w:val="2"/>
      </w:pPr>
    </w:p>
    <w:p w:rsidR="00C33027" w:rsidRDefault="00C33027" w:rsidP="00C33027">
      <w:pPr>
        <w:pStyle w:val="2"/>
      </w:pPr>
    </w:p>
    <w:p w:rsidR="00C33027" w:rsidRDefault="00C33027" w:rsidP="00C33027">
      <w:pPr>
        <w:pStyle w:val="2"/>
      </w:pPr>
    </w:p>
    <w:p w:rsidR="00C33027" w:rsidRDefault="00C33027" w:rsidP="00C33027">
      <w:r>
        <w:t>Рассмотрев отчет о работе Счетной палаты Российской Федерации в 2025 году, Совет Федерации Федерального Собрания Российской Федерации отмечает следующее.</w:t>
      </w:r>
    </w:p>
    <w:p w:rsidR="00C33027" w:rsidRDefault="00C33027" w:rsidP="00C33027">
      <w:r>
        <w:t xml:space="preserve">Счетной палатой Российской Федерации (далее – Счетная палата) в 2025 году проведено 228 контрольных и 48 экспертно-аналитических мероприятий, а также 17 иных мероприятий, </w:t>
      </w:r>
      <w:r>
        <w:br/>
        <w:t>в том числе по оперативному анализу исполнения федерального бюджета, бюджетов государственных внебюджетных фондов Российской Федерации.</w:t>
      </w:r>
    </w:p>
    <w:p w:rsidR="00C33027" w:rsidRDefault="00C33027" w:rsidP="00C33027">
      <w:r>
        <w:t xml:space="preserve">По поручениям Совета Федерации Федерального Собрания Российской Федерации и обращениям сенаторов Российской Федерации проведено 38 мероприятий. Осуществлено 17 совместных и параллельных контрольных и экспертно-аналитических мероприятий: 8 мероприятий с контрольно-счетными органами субъектов Российской Федерации </w:t>
      </w:r>
      <w:r>
        <w:br/>
        <w:t>и 9 мероприятий с высшими органами государственного аудита (контроля) иностранных государств.</w:t>
      </w:r>
    </w:p>
    <w:p w:rsidR="00C33027" w:rsidRDefault="00C33027" w:rsidP="00C33027">
      <w:r>
        <w:t>В 2025 году Счетной палатой в ходе осуществления внешнего государственного аудита (контроля) было выявлено 4631 нарушение и недостаток на сумму 1527,6 млрд рублей.</w:t>
      </w:r>
    </w:p>
    <w:p w:rsidR="00C33027" w:rsidRDefault="00C33027" w:rsidP="00C33027">
      <w:r>
        <w:t xml:space="preserve">Почти половина этой суммы (756,1 млрд рублей) связана </w:t>
      </w:r>
      <w:r>
        <w:br/>
        <w:t xml:space="preserve">с нарушениями, выявленными в ходе мероприятий по проверке формирования и исполнения федерального бюджета. Лидирующую </w:t>
      </w:r>
      <w:r>
        <w:lastRenderedPageBreak/>
        <w:t>позицию среди них занимают нарушения и недостатки при предоставлении юридическим лицам субсидий и грантов в форме субсидий и их использовании – 383 факта на общую сумму 455,2 млрд рублей.</w:t>
      </w:r>
    </w:p>
    <w:p w:rsidR="00C33027" w:rsidRDefault="00C33027" w:rsidP="00C33027">
      <w:r>
        <w:t xml:space="preserve">Значительная часть выявленных нарушений и недостатков (309 фактов на сумму 288,1 млрд рублей) допущена, как и </w:t>
      </w:r>
      <w:r>
        <w:br/>
        <w:t xml:space="preserve">в предыдущие годы, в ходе ведения бухгалтерского учета, составления и представления бухгалтерской отчетности. При этом объем таких нарушений значительно сократился, что показывает </w:t>
      </w:r>
      <w:r>
        <w:br/>
        <w:t>в том числе результативность проводимой Счетной палатой системной работы, направленной на их устранение.</w:t>
      </w:r>
    </w:p>
    <w:p w:rsidR="00C33027" w:rsidRDefault="00C33027" w:rsidP="00C33027">
      <w:r>
        <w:t>Установлено 947 фактов нарушений и недостатков, допущенных при осуществлении закупок товаров, работ, услуг для обеспечения государственных нужд и закупок отдельными видами юридических лиц, на общую сумму 162,9 млрд рублей.</w:t>
      </w:r>
    </w:p>
    <w:p w:rsidR="00C33027" w:rsidRDefault="00C33027" w:rsidP="00C33027">
      <w:r>
        <w:t xml:space="preserve">Счетная палата также выявила 77 фактов, связанных </w:t>
      </w:r>
      <w:r>
        <w:br/>
        <w:t>с неэффективным использованием бюджетных средств и иных ресурсов, на общую сумму около 26,0 млрд рублей.</w:t>
      </w:r>
    </w:p>
    <w:p w:rsidR="00C33027" w:rsidRDefault="00C33027" w:rsidP="00C33027">
      <w:r>
        <w:t xml:space="preserve">Экономический эффект от деятельности Счетной палаты, рассчитанный по результатам контрольных и экспертно-аналитических мероприятий, увеличился по сравнению </w:t>
      </w:r>
      <w:r>
        <w:br/>
        <w:t xml:space="preserve">с предыдущим годом в 4,4 раза и составил в 2025 году 653,0 млрд рублей, в том числе Счетной палатой был обеспечен возврат средств в бюджеты бюджетной системы Российской Федерации, бюджет Союзного государства, а также в пользу Центрального банка Российской Федерации (Банка России), государственных органов, государственных корпораций, публично-правовых компаний и организаций с государственным участием </w:t>
      </w:r>
      <w:r>
        <w:br/>
        <w:t>в размере 294,1 млрд рублей.</w:t>
      </w:r>
    </w:p>
    <w:p w:rsidR="00C33027" w:rsidRDefault="00C33027" w:rsidP="00C33027">
      <w:r>
        <w:t>Была проведена экспертиза 1767 проектов нормативных правовых актов.</w:t>
      </w:r>
    </w:p>
    <w:p w:rsidR="00C33027" w:rsidRDefault="00C33027" w:rsidP="00C33027">
      <w:r>
        <w:t>По итогам проведения мероприятий Счетной палатой направлено руководителям объектов аудита (контроля) 340 представлений, 13 предписаний, 469 информационных писем и 1027 предложений (рекомендаций), в том числе 241 приоритетное предложение (рекомендация).</w:t>
      </w:r>
    </w:p>
    <w:p w:rsidR="00C33027" w:rsidRDefault="00C33027" w:rsidP="00C33027">
      <w:r>
        <w:t xml:space="preserve">В правоохранительные органы направлено 162 материала, </w:t>
      </w:r>
      <w:r>
        <w:br/>
        <w:t>из них 97 – в Генеральную прокуратуру Российской Федерации.</w:t>
      </w:r>
    </w:p>
    <w:p w:rsidR="00C33027" w:rsidRDefault="00C33027" w:rsidP="00C33027">
      <w:r>
        <w:lastRenderedPageBreak/>
        <w:t xml:space="preserve">По результатам проведения контрольных мероприятий приняты решения о возбуждении 77 уголовных дел, </w:t>
      </w:r>
      <w:r>
        <w:br/>
        <w:t>к дисциплинарной ответственности привлечены 188 должностных лиц, виновных в нарушении законодательства Российской Федерации.</w:t>
      </w:r>
    </w:p>
    <w:p w:rsidR="00C33027" w:rsidRDefault="00C33027" w:rsidP="00C33027">
      <w:r>
        <w:t>Проведенные Счетной палатой в 2025 году контрольные, экспертно-аналитические и иные мероприятия содействовали оптимизации бюджетных расходов, предотвращению масштабных нарушений и злоупотреблений, совершенствованию механизмов государственного управления.</w:t>
      </w:r>
    </w:p>
    <w:p w:rsidR="00C33027" w:rsidRDefault="00C33027">
      <w:r>
        <w:t xml:space="preserve">По итогам обсуждения отчета о работе Счетной палаты Российской Федерации в 2025 году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33027" w:rsidRDefault="00C33027"/>
    <w:p w:rsidR="00C33027" w:rsidRDefault="00C33027" w:rsidP="00C33027">
      <w:r>
        <w:t>1. Принять к сведению отчет о работе Счетной палаты Российской Федерации в 2025 году.</w:t>
      </w:r>
    </w:p>
    <w:p w:rsidR="00C33027" w:rsidRDefault="00C33027" w:rsidP="00C33027">
      <w:r>
        <w:t>2. Признать работу Счетной палаты удовлетворительной.</w:t>
      </w:r>
    </w:p>
    <w:p w:rsidR="00C33027" w:rsidRDefault="00C33027" w:rsidP="00C33027">
      <w:r>
        <w:t>3. Рекомендовать Счетной палате:</w:t>
      </w:r>
    </w:p>
    <w:p w:rsidR="00C33027" w:rsidRDefault="00C33027" w:rsidP="00C33027">
      <w:r>
        <w:t>1) уделять приоритетное внимание осуществлению контроля за использованием федеральных и иных ресурсов для обеспечения технологического суверенитета Российской Федерации;</w:t>
      </w:r>
    </w:p>
    <w:p w:rsidR="00C33027" w:rsidRDefault="00C33027" w:rsidP="00C33027">
      <w:r>
        <w:t xml:space="preserve">2) осуществлять аудит формирования федерального бюджета, бюджетов государственных внебюджетных фондов Российской Федерации, бюджетов Союзного государства </w:t>
      </w:r>
      <w:r>
        <w:br/>
        <w:t>и Евразийского экономического союза и контроль за их исполнением;</w:t>
      </w:r>
    </w:p>
    <w:p w:rsidR="00C33027" w:rsidRDefault="00C33027" w:rsidP="00C33027">
      <w:r>
        <w:t xml:space="preserve">3) отмечать в рамках оперативного анализа исполнения </w:t>
      </w:r>
      <w:r>
        <w:br/>
        <w:t>и контроля за организацией исполнения федерального бюджета факты необоснованного изменения объемов финансирования реализации государственных программ Российской Федерации при отсутствии корректировки показателей и мероприятий (результатов) этих программ и их структурных элементов;</w:t>
      </w:r>
    </w:p>
    <w:p w:rsidR="00C33027" w:rsidRDefault="00C33027" w:rsidP="00C33027">
      <w:r>
        <w:t>4) осуществлять в рамках бюджетного процесса контроль объемов и количества объектов незавершенного строительства, финансирование мероприятий по завершению строительства которых осуществляется за счет средств федерального бюджета, проводить анализ сложившейся ситуации и выявлять основные тенденции и влияющие на них факторы;</w:t>
      </w:r>
    </w:p>
    <w:p w:rsidR="00C33027" w:rsidRDefault="00C33027" w:rsidP="00C33027">
      <w:r>
        <w:lastRenderedPageBreak/>
        <w:t xml:space="preserve">5) осуществлять мониторинг реализации национальных (федеральных) проектов, государственных программ Российской Федерации и их структурных элементов, в том числе с учетом изменений их состава, плановых значений показателей </w:t>
      </w:r>
      <w:r>
        <w:br/>
        <w:t>и результатов;</w:t>
      </w:r>
    </w:p>
    <w:p w:rsidR="00C33027" w:rsidRDefault="00C33027" w:rsidP="00C33027">
      <w:r>
        <w:t>6) уделять особое внимание реализации национальных проектов, направленных на технологическое обеспечение продовольственной безопасности страны;</w:t>
      </w:r>
    </w:p>
    <w:p w:rsidR="00C33027" w:rsidRDefault="00C33027" w:rsidP="00C33027">
      <w:r>
        <w:t>7) продолжить ежеквартальный мониторинг исполнения консолидированных бюджетов субъектов Российской Федерации;</w:t>
      </w:r>
    </w:p>
    <w:p w:rsidR="00C33027" w:rsidRDefault="00C33027" w:rsidP="00C33027">
      <w:r>
        <w:t xml:space="preserve">8) включить в план работы Счетной палаты Российской Федерации на 2027 год следующие мероприятия: </w:t>
      </w:r>
    </w:p>
    <w:p w:rsidR="00C33027" w:rsidRDefault="00C33027" w:rsidP="00C33027">
      <w:r>
        <w:t>по оценке деятельности ведущих педагогических университетов в части эффективности использования средств, выделенных из федерального бюджета на финансовое обеспечение их деятельности;</w:t>
      </w:r>
    </w:p>
    <w:p w:rsidR="00C33027" w:rsidRDefault="00C33027" w:rsidP="00C33027">
      <w:r>
        <w:t xml:space="preserve">по анализу механизма списания задолженности субъектов Российской Федерации перед Российской Федерацией </w:t>
      </w:r>
      <w:r>
        <w:br/>
        <w:t>по бюджетным кредитам;</w:t>
      </w:r>
    </w:p>
    <w:p w:rsidR="00C33027" w:rsidRDefault="00C33027" w:rsidP="00C33027">
      <w:r>
        <w:t>по анализу реализации федеральных проектов "Развитие отдельных территорий и центров экономического роста субъектов Российской Федерации, входящих в состав Дальневосточного федерального округа" и "Новые возможности для Дальнего Востока";</w:t>
      </w:r>
    </w:p>
    <w:p w:rsidR="00C33027" w:rsidRDefault="00C33027" w:rsidP="00C33027">
      <w:r>
        <w:t>по аудиту реализации мер государственной поддержки инвестиционных проектов в рамках механизма промышленной ипотеки;</w:t>
      </w:r>
    </w:p>
    <w:p w:rsidR="00C33027" w:rsidRDefault="00C33027" w:rsidP="00C33027">
      <w:r>
        <w:t xml:space="preserve">по аудиту использования бюджетных ассигнований федерального бюджета, предоставленных Фонду пенсионного </w:t>
      </w:r>
      <w:r>
        <w:br/>
        <w:t>и социального страхования Российской Федерации на выплату ежемесячного пособия в связи с рождением и воспитанием ребенка;</w:t>
      </w:r>
    </w:p>
    <w:p w:rsidR="00C33027" w:rsidRDefault="00C33027" w:rsidP="00C33027">
      <w:r>
        <w:t>по аудиту эффективности использования бюджетных ассигнований Фонда пенсионного и социального страхования Российской Федерации, предусмотренных на обеспечение инвалидов техническими средствами реабилитации путем проведения централизованной закупки;</w:t>
      </w:r>
    </w:p>
    <w:p w:rsidR="00C33027" w:rsidRDefault="00C33027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C33027" w:rsidRDefault="00C33027" w:rsidP="00C33027">
      <w:r>
        <w:lastRenderedPageBreak/>
        <w:t xml:space="preserve">по аудиту предоставления и использования </w:t>
      </w:r>
      <w:r>
        <w:br/>
        <w:t>в 2025–2026 годах в рамках федерального проекта "Создание условий для развития научных разработок в селекции и генетике", входящего в состав национального проекта "Технологическое обеспечение продовольственной безопасности", бюджетных ассигнований федерального бюджета на снижение уровня импортозависимости в области селекции и генетики;</w:t>
      </w:r>
    </w:p>
    <w:p w:rsidR="00C33027" w:rsidRDefault="00C33027" w:rsidP="00C33027">
      <w:r>
        <w:t xml:space="preserve">по аудиту реализации мер государственной поддержки, направленных на развитие угледобывающей отрасли с учетом минерально-сырьевого потенциала страны; </w:t>
      </w:r>
    </w:p>
    <w:p w:rsidR="00C33027" w:rsidRDefault="00C33027" w:rsidP="00C33027">
      <w:r>
        <w:t>по аудиту эффективности закупок импортных специализированных продуктов лечебного питания для пациентов с редкими (орфанными) заболеваниями в сравнении с закупками их отечественных аналогов и разработке по его итогам рекомендаций по оптимизации соответствующих расходов федерального бюджета и бюджетов субъектов Российской Федерации;</w:t>
      </w:r>
    </w:p>
    <w:p w:rsidR="00C33027" w:rsidRDefault="00C33027" w:rsidP="00C33027">
      <w:r>
        <w:t>9) осуществлять мониторинг реализации мероприятий по строительству, реконструкции (модернизации) очистных сооружений федерального проекта "Вода России" в рамках мероприятий, предусмотренных планом работы Счетной палаты Российской Федерации на 2026 год, с последующим информированием Совета Федерации Федерального Собрания Российской Федерации о его результатах;</w:t>
      </w:r>
    </w:p>
    <w:p w:rsidR="00C33027" w:rsidRDefault="00C33027" w:rsidP="00C33027">
      <w:r>
        <w:t xml:space="preserve">10) рассмотреть вопрос об актуализации: </w:t>
      </w:r>
    </w:p>
    <w:p w:rsidR="00C33027" w:rsidRDefault="00C33027" w:rsidP="00C33027">
      <w:r>
        <w:t>Методики проведения анализа формирования государственных программ Российской Федерации в рамках осуществления предварительного аудита формирования федерального бюджета;</w:t>
      </w:r>
    </w:p>
    <w:p w:rsidR="00C33027" w:rsidRDefault="00C33027" w:rsidP="00C33027">
      <w:r>
        <w:t>Методики оценки реализации государственных программ Российской Федерации в рамках осуществления последующего контроля за исполнением федерального бюджета;</w:t>
      </w:r>
    </w:p>
    <w:p w:rsidR="00C33027" w:rsidRDefault="00C33027" w:rsidP="00C33027">
      <w:r>
        <w:t>11) обеспечить участие Счетной палаты и контрольно-счетных органов субъектов Российской Федерации в Тринадцатом форуме регионов Беларуси и России в целях обмена передовым опытом и лучшими практиками внешнего государственного финансового аудита (контроля) по приоритетным направлениям социально-экономического развития;</w:t>
      </w:r>
    </w:p>
    <w:p w:rsidR="00C33027" w:rsidRDefault="00C33027" w:rsidP="00C33027">
      <w:r>
        <w:lastRenderedPageBreak/>
        <w:t xml:space="preserve">12) развивать практику повышения профессиональных компетенций председателей контрольно-счетных органов субъектов Российской Федерации, впервые назначенных </w:t>
      </w:r>
      <w:r>
        <w:br/>
        <w:t>на должность, посредством проведения обучающих мероприятий по актуальным вопросам внешнего государственного финансового аудита (контроля);</w:t>
      </w:r>
    </w:p>
    <w:p w:rsidR="00C33027" w:rsidRDefault="00C33027" w:rsidP="00C33027">
      <w:r>
        <w:t>13) продолжить работу по проведению экспертизы нормативных правовых актов и подготовке предложений по совершенствованию нормативных правовых актов, направленных прежде всего на повышение качества бюджетного процесса, осуществление контроля за реализацией государственных программ Российской Федерации, программ и проектов Союзного государства, решение вопросов обеспечения социальных гарантий военнослужащих и приравненных к ним лиц и мер государственной поддержки участников специальной военной операции и их семей;</w:t>
      </w:r>
    </w:p>
    <w:p w:rsidR="00C33027" w:rsidRDefault="00C33027" w:rsidP="00C33027">
      <w:r>
        <w:t>14) продолжить работу по совершенствованию системы управления качеством мероприятий, проводимых Счетной палатой, в том числе разработать и утвердить методические рекомендации по управлению качеством финансового аудита (контроля);</w:t>
      </w:r>
    </w:p>
    <w:p w:rsidR="00C33027" w:rsidRDefault="00C33027" w:rsidP="00C33027">
      <w:r>
        <w:t>15) продолжить оказание помощи контрольно-счетным органам субъектов Российской Федерации в целях дальнейшего развития потенциала внешнего государственного финансового контроля в субъектах Российской Федерации;</w:t>
      </w:r>
    </w:p>
    <w:p w:rsidR="00C33027" w:rsidRDefault="00C33027" w:rsidP="00C33027">
      <w:r>
        <w:t xml:space="preserve">16) продолжить практику продвижения опыта Счетной палаты как международного центра компетенций в сфере государственного аудита (контроля) посредством проведения мероприятий Счетной палаты и контрольно-счетных органов субъектов Российской Федерации по профессиональному развитию для представителей высших органов государственного аудита (контроля) дружественных государств, а также </w:t>
      </w:r>
      <w:r>
        <w:br/>
        <w:t xml:space="preserve">с использованием площадок международных организаций </w:t>
      </w:r>
      <w:r>
        <w:br/>
        <w:t>и форматов взаимодействия высших органов государственного аудита (контроля).</w:t>
      </w:r>
    </w:p>
    <w:p w:rsidR="00C33027" w:rsidRDefault="00C33027" w:rsidP="00C33027">
      <w:r>
        <w:t>4. Направить настоящее постановление в Счетную палату.</w:t>
      </w:r>
    </w:p>
    <w:p w:rsidR="00C33027" w:rsidRDefault="00C33027" w:rsidP="00C33027">
      <w:r>
        <w:t xml:space="preserve">5. Счетной палате проинформировать Совет Федерации Федерального Собрания Российской Федерации в 2026 году </w:t>
      </w:r>
      <w:r>
        <w:br/>
        <w:t>о ходе реализации настоящего постановления.</w:t>
      </w:r>
    </w:p>
    <w:p w:rsidR="00C33027" w:rsidRDefault="00C33027" w:rsidP="00C33027">
      <w:r>
        <w:lastRenderedPageBreak/>
        <w:t xml:space="preserve">6. Контроль за исполнением настоящего постановления возложить на Комитет Совета Федерации по бюджету </w:t>
      </w:r>
      <w:r>
        <w:br/>
        <w:t>и финансовым рынкам.</w:t>
      </w:r>
    </w:p>
    <w:p w:rsidR="00C33027" w:rsidRDefault="00C33027" w:rsidP="00C33027">
      <w:r>
        <w:t>7. Настоящее постановление вступает в силу со дня его принятия.</w:t>
      </w:r>
    </w:p>
    <w:p w:rsidR="00C33027" w:rsidRDefault="00C33027" w:rsidP="00C33027"/>
    <w:p w:rsidR="00C33027" w:rsidRDefault="00C33027" w:rsidP="00C33027"/>
    <w:p w:rsidR="00C33027" w:rsidRDefault="00C33027" w:rsidP="00C33027"/>
    <w:p w:rsidR="00FA3FE7" w:rsidRDefault="00C33027" w:rsidP="00FA3C8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FA3FE7">
        <w:t>В.И. МАТВИЕНКО</w:t>
      </w:r>
    </w:p>
    <w:p w:rsidR="00C33027" w:rsidRDefault="00C33027" w:rsidP="00C33027">
      <w:pPr>
        <w:pStyle w:val="ac"/>
      </w:pPr>
    </w:p>
    <w:p w:rsidR="00C33027" w:rsidRDefault="00C33027" w:rsidP="00C33027">
      <w:pPr>
        <w:pStyle w:val="ac"/>
      </w:pPr>
    </w:p>
    <w:p w:rsidR="00FA3C84" w:rsidRDefault="00FA3C84" w:rsidP="00C33027">
      <w:pPr>
        <w:pStyle w:val="ac"/>
      </w:pPr>
    </w:p>
    <w:p w:rsidR="00FA3C84" w:rsidRDefault="00FA3C84" w:rsidP="00545F85">
      <w:pPr>
        <w:pStyle w:val="af"/>
      </w:pPr>
      <w:r>
        <w:t>Москва</w:t>
      </w:r>
    </w:p>
    <w:p w:rsidR="00FA3C84" w:rsidRDefault="00FA3C84" w:rsidP="00545F85">
      <w:pPr>
        <w:pStyle w:val="af"/>
      </w:pPr>
      <w:r>
        <w:t>1 апреля 2026 года</w:t>
      </w:r>
    </w:p>
    <w:p w:rsidR="00FA3C84" w:rsidRDefault="00FA3C84" w:rsidP="00FA3C84">
      <w:pPr>
        <w:pStyle w:val="af"/>
      </w:pPr>
      <w:r>
        <w:t>№ 130-СФ</w:t>
      </w:r>
    </w:p>
    <w:sectPr w:rsidR="00FA3C8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317A" w:rsidRDefault="00FD317A">
      <w:pPr>
        <w:spacing w:line="240" w:lineRule="auto"/>
      </w:pPr>
      <w:r>
        <w:separator/>
      </w:r>
    </w:p>
  </w:endnote>
  <w:endnote w:type="continuationSeparator" w:id="0">
    <w:p w:rsidR="00FD317A" w:rsidRDefault="00FD31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95DCEEC-A32A-4CCB-82A9-48EA4E6DEA01}"/>
    <w:embedBold r:id="rId2" w:fontKey="{D54BB03B-D6F1-40E8-B579-2417E8C4E17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BAF451A-CA40-45A8-9D10-0B8B62EBD60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A3FE7" w:rsidRDefault="00FA3FE7" w:rsidP="00FA3FE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A3C84">
      <w:rPr>
        <w:noProof/>
      </w:rPr>
      <w:t>sa10817.docx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A3C8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A3FE7" w:rsidRDefault="00FA3FE7" w:rsidP="00FA3FE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A3C84">
      <w:rPr>
        <w:noProof/>
      </w:rPr>
      <w:t>sa10817.docx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A3C8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317A" w:rsidRDefault="00FD317A">
      <w:pPr>
        <w:spacing w:line="240" w:lineRule="auto"/>
      </w:pPr>
      <w:r>
        <w:separator/>
      </w:r>
    </w:p>
  </w:footnote>
  <w:footnote w:type="continuationSeparator" w:id="0">
    <w:p w:rsidR="00FD317A" w:rsidRDefault="00FD317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A3FE7" w:rsidRDefault="00FA3FE7" w:rsidP="00FA3FE7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2719D">
      <w:rPr>
        <w:rStyle w:val="ab"/>
        <w:noProof/>
      </w:rPr>
      <w:t>3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05E"/>
    <w:rsid w:val="00021851"/>
    <w:rsid w:val="00096CF1"/>
    <w:rsid w:val="000D3F67"/>
    <w:rsid w:val="001057BD"/>
    <w:rsid w:val="00205211"/>
    <w:rsid w:val="002623D0"/>
    <w:rsid w:val="002A1E3D"/>
    <w:rsid w:val="002B772D"/>
    <w:rsid w:val="003114B9"/>
    <w:rsid w:val="003273F1"/>
    <w:rsid w:val="0033405E"/>
    <w:rsid w:val="0035125E"/>
    <w:rsid w:val="00423816"/>
    <w:rsid w:val="004A68AB"/>
    <w:rsid w:val="00505068"/>
    <w:rsid w:val="00545F85"/>
    <w:rsid w:val="005B2AEB"/>
    <w:rsid w:val="00720496"/>
    <w:rsid w:val="00723EF8"/>
    <w:rsid w:val="00747147"/>
    <w:rsid w:val="0078182C"/>
    <w:rsid w:val="00885B74"/>
    <w:rsid w:val="00910EF7"/>
    <w:rsid w:val="00997F4C"/>
    <w:rsid w:val="00A82E08"/>
    <w:rsid w:val="00AA344E"/>
    <w:rsid w:val="00AE5D1E"/>
    <w:rsid w:val="00B07D98"/>
    <w:rsid w:val="00B30B27"/>
    <w:rsid w:val="00B33546"/>
    <w:rsid w:val="00B67711"/>
    <w:rsid w:val="00BC3E74"/>
    <w:rsid w:val="00C33027"/>
    <w:rsid w:val="00CF27C2"/>
    <w:rsid w:val="00CF731B"/>
    <w:rsid w:val="00D2719D"/>
    <w:rsid w:val="00DA769E"/>
    <w:rsid w:val="00E02685"/>
    <w:rsid w:val="00EF61BA"/>
    <w:rsid w:val="00F178A8"/>
    <w:rsid w:val="00F21BB0"/>
    <w:rsid w:val="00F9160B"/>
    <w:rsid w:val="00FA3C84"/>
    <w:rsid w:val="00FA3FE7"/>
    <w:rsid w:val="00FD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346870-8F24-45C5-9607-D4562C60C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9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7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06A2B630CD5446EBFD163C838E35C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FAE6B3-F5EB-4F0A-98FE-33913DA1DB37}"/>
      </w:docPartPr>
      <w:docPartBody>
        <w:p w:rsidR="009C4A5A" w:rsidRDefault="009C4A5A">
          <w:pPr>
            <w:pStyle w:val="806A2B630CD5446EBFD163C838E35C8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A5A"/>
    <w:rsid w:val="009C4A5A"/>
    <w:rsid w:val="00AE4B41"/>
    <w:rsid w:val="00BC4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06A2B630CD5446EBFD163C838E35C8F">
    <w:name w:val="806A2B630CD5446EBFD163C838E35C8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7</Pages>
  <Words>1662</Words>
  <Characters>9478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Сергеенков+</dc:creator>
  <cp:keywords/>
  <dc:description>SA16.03.2026 SA30.03.2026 SA30.03.2026 EQ31.03.2026 EQ31.03.2026 </dc:description>
  <cp:lastModifiedBy>Кучерова О.М.</cp:lastModifiedBy>
  <cp:revision>7</cp:revision>
  <cp:lastPrinted>2026-04-01T07:05:00Z</cp:lastPrinted>
  <dcterms:created xsi:type="dcterms:W3CDTF">2026-03-16T15:16:00Z</dcterms:created>
  <dcterms:modified xsi:type="dcterms:W3CDTF">2026-04-01T07:35:00Z</dcterms:modified>
</cp:coreProperties>
</file>