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DEE4E61E755241178E2A034BD5CFC8BD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3D2706" w:rsidRDefault="00545F85" w:rsidP="003D2706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DEE4E61E755241178E2A034BD5CFC8BD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627FBE" w:rsidRDefault="00627FBE" w:rsidP="00627FBE">
      <w:pPr>
        <w:pStyle w:val="1"/>
      </w:pPr>
      <w:r>
        <w:t>О предложениях Совета Федерации</w:t>
      </w:r>
    </w:p>
    <w:p w:rsidR="00627FBE" w:rsidRDefault="00627FBE" w:rsidP="00627FBE">
      <w:pPr>
        <w:pStyle w:val="2"/>
      </w:pPr>
      <w:r>
        <w:t>Федерального Собрания Российской Федерации</w:t>
      </w:r>
    </w:p>
    <w:p w:rsidR="00627FBE" w:rsidRDefault="00627FBE" w:rsidP="00627FBE">
      <w:pPr>
        <w:pStyle w:val="2"/>
      </w:pPr>
      <w:r>
        <w:t>по формированию концепции федерального бюджета</w:t>
      </w:r>
    </w:p>
    <w:p w:rsidR="00627FBE" w:rsidRDefault="00627FBE" w:rsidP="00627FBE">
      <w:pPr>
        <w:pStyle w:val="2"/>
      </w:pPr>
      <w:r>
        <w:t>на 2027 год и на плановый период 2028 и 2029 годов</w:t>
      </w:r>
    </w:p>
    <w:p w:rsidR="00627FBE" w:rsidRDefault="00627FBE" w:rsidP="00627FBE">
      <w:pPr>
        <w:pStyle w:val="2"/>
      </w:pPr>
    </w:p>
    <w:p w:rsidR="00627FBE" w:rsidRDefault="00627FBE" w:rsidP="00627FBE">
      <w:pPr>
        <w:pStyle w:val="2"/>
      </w:pPr>
    </w:p>
    <w:p w:rsidR="00627FBE" w:rsidRDefault="00627FBE" w:rsidP="00627FBE">
      <w:pPr>
        <w:pStyle w:val="2"/>
      </w:pP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Обсудив вопросы, связанные с формированием концепции федерального бюджета на 2027 год и на плановый период </w:t>
      </w:r>
      <w:r>
        <w:rPr>
          <w:szCs w:val="28"/>
        </w:rPr>
        <w:br/>
        <w:t>2028 и 2029 годов, Совет Федерации Федерального Собрания Российской Федерации отмечает следующее.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>Исполнение федерального бюджета в 2026 году осуществляется в условиях негативного влияния геополитических факторов. Сдержанные темпы роста валового внутреннего продукта в 2025 году обусловлены сокращением внутреннего спроса вследствие проводимой жесткой денежно-кредитной политики. Вместе с тем дальнейшее снижение внутреннего спроса позволит перейти к долгосрочному сбалансированному экономическому развитию.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Уменьшение поступления доходов федерального бюджета </w:t>
      </w:r>
      <w:r>
        <w:rPr>
          <w:szCs w:val="28"/>
        </w:rPr>
        <w:br/>
        <w:t xml:space="preserve">за истекший период 2026 года формирует риски </w:t>
      </w:r>
      <w:proofErr w:type="spellStart"/>
      <w:r>
        <w:rPr>
          <w:szCs w:val="28"/>
        </w:rPr>
        <w:t>недостижения</w:t>
      </w:r>
      <w:proofErr w:type="spellEnd"/>
      <w:r>
        <w:rPr>
          <w:szCs w:val="28"/>
        </w:rPr>
        <w:t xml:space="preserve"> запланированного объема доходов за год в целом. Компенсационную роль при этом может сыграть определенное восстановление нефтегазовых доходов во втором квартале 2026</w:t>
      </w:r>
      <w:r>
        <w:rPr>
          <w:szCs w:val="28"/>
          <w:lang w:val="en-US"/>
        </w:rPr>
        <w:t> </w:t>
      </w:r>
      <w:r>
        <w:rPr>
          <w:szCs w:val="28"/>
        </w:rPr>
        <w:t xml:space="preserve">года под действием геополитической ситуации. Требуется проведение мониторинга динамики налоговых поступлений в целях возможной корректировки условий налогообложения бизнеса.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lastRenderedPageBreak/>
        <w:t>Существенным источником увеличения доходной базы бюджетов бюджетной системы Российской Федерации призваны стать обеление экономики и решение проблемы теневой занятости.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Кроме того, необходимы меры по обеспечению реалистичных оценок при прогнозировании макроэкономических показателей, лежащих в основе формирования параметров федерального бюджета, что позволит снизить риски, связанные </w:t>
      </w:r>
      <w:r>
        <w:rPr>
          <w:szCs w:val="28"/>
        </w:rPr>
        <w:br/>
        <w:t xml:space="preserve">с </w:t>
      </w:r>
      <w:proofErr w:type="spellStart"/>
      <w:r>
        <w:rPr>
          <w:szCs w:val="28"/>
        </w:rPr>
        <w:t>недопоступлением</w:t>
      </w:r>
      <w:proofErr w:type="spellEnd"/>
      <w:r>
        <w:rPr>
          <w:szCs w:val="28"/>
        </w:rPr>
        <w:t xml:space="preserve"> доходов в бюджеты бюджетной системы Российской Федерации.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>Финансирование расходов в 2026 году опережающими темпами в условиях сокращения поступления доходов создает риски превышения по итогам 2026 года запланированного объема дефицита федерального бюджета. Это может повлечь увеличение расходов на обслуживание государственного долга в очередном трехлетнем периоде, в связи с чем актуальны поддержание сбалансированности федерального бюджета и снижение его долговой нагрузки.</w:t>
      </w:r>
    </w:p>
    <w:p w:rsidR="00627FBE" w:rsidRDefault="00627FBE" w:rsidP="00627FBE">
      <w:pPr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>Бюджетная система Российской Федерации в целом сохраняет устойчивость и стабильность. Обязательства государства исполняются в полном объеме.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Продолжается реализация мер, направленных </w:t>
      </w:r>
      <w:r>
        <w:rPr>
          <w:szCs w:val="28"/>
        </w:rPr>
        <w:br/>
        <w:t xml:space="preserve">на стимулирование социально-экономического развития, </w:t>
      </w:r>
      <w:r>
        <w:rPr>
          <w:szCs w:val="28"/>
        </w:rPr>
        <w:br/>
        <w:t xml:space="preserve">в том числе предусматривающих оказание поддержки отдельным категориям граждан и субъектам экономической деятельности. </w:t>
      </w:r>
      <w:r>
        <w:rPr>
          <w:szCs w:val="28"/>
        </w:rPr>
        <w:br/>
        <w:t>При этом важно повышать адресность и обеспечивать целевой характер мер социальной поддержки, прозрачность условий предоставления мер государственной поддержки субъектам экономической деятельности, а также усиливать их ответственность за достижение результатов.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Необходимо продолжать работу по проведению дополнительной оценки обоснованности и повышению качества планирования бюджетных ассигнований. При этом консервативное планирование расходов бюджета на очередной трехлетний период будет способствовать переходу к более мягким условиям </w:t>
      </w:r>
      <w:r>
        <w:rPr>
          <w:szCs w:val="28"/>
        </w:rPr>
        <w:br/>
        <w:t>денежно-кредитной политики.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Требуется дальнейшая оптимизация расходов федерального бюджета, включая выработку решений по </w:t>
      </w:r>
      <w:proofErr w:type="spellStart"/>
      <w:r>
        <w:rPr>
          <w:szCs w:val="28"/>
        </w:rPr>
        <w:t>приоритизации</w:t>
      </w:r>
      <w:proofErr w:type="spellEnd"/>
      <w:r>
        <w:rPr>
          <w:szCs w:val="28"/>
        </w:rPr>
        <w:t xml:space="preserve"> </w:t>
      </w:r>
      <w:r>
        <w:rPr>
          <w:szCs w:val="28"/>
        </w:rPr>
        <w:br/>
        <w:t xml:space="preserve">и повышению эффективности расходов на реализацию </w:t>
      </w:r>
      <w:r>
        <w:rPr>
          <w:szCs w:val="28"/>
        </w:rPr>
        <w:lastRenderedPageBreak/>
        <w:t xml:space="preserve">государственных программ Российской Федерации </w:t>
      </w:r>
      <w:r>
        <w:rPr>
          <w:szCs w:val="28"/>
        </w:rPr>
        <w:br/>
        <w:t>и непрограммных направлений деятельности.</w:t>
      </w:r>
    </w:p>
    <w:p w:rsidR="00627FBE" w:rsidRDefault="00627FBE" w:rsidP="00627FBE">
      <w:pPr>
        <w:rPr>
          <w:rFonts w:eastAsia="Calibri"/>
          <w:szCs w:val="28"/>
        </w:rPr>
      </w:pPr>
      <w:r>
        <w:rPr>
          <w:szCs w:val="28"/>
        </w:rPr>
        <w:t xml:space="preserve">В целях повышения устойчивости бюджетов субъектов Российской Федерации и развития системы межбюджетных отношений следует совершенствовать меры их поддержки, </w:t>
      </w:r>
      <w:r>
        <w:rPr>
          <w:szCs w:val="28"/>
        </w:rPr>
        <w:br/>
        <w:t xml:space="preserve">в частности подходы к предоставлению нецелевых мер поддержки субъектов Российской Федерации в виде дотаций.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Учитывая изложенное, Совет Федерации Федерального Собрания Российской </w:t>
      </w:r>
      <w:proofErr w:type="gramStart"/>
      <w:r>
        <w:rPr>
          <w:szCs w:val="28"/>
        </w:rPr>
        <w:t xml:space="preserve">Федерации  </w:t>
      </w:r>
      <w:r>
        <w:rPr>
          <w:b/>
          <w:spacing w:val="60"/>
          <w:szCs w:val="28"/>
        </w:rPr>
        <w:t>постановляет</w:t>
      </w:r>
      <w:proofErr w:type="gramEnd"/>
      <w:r>
        <w:rPr>
          <w:szCs w:val="28"/>
        </w:rPr>
        <w:t>:</w:t>
      </w:r>
    </w:p>
    <w:p w:rsidR="00627FBE" w:rsidRDefault="00627FBE" w:rsidP="00627FBE">
      <w:pPr>
        <w:rPr>
          <w:szCs w:val="28"/>
        </w:rPr>
      </w:pP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1. Рекомендовать Правительству Российской Федерации </w:t>
      </w:r>
      <w:r>
        <w:rPr>
          <w:szCs w:val="28"/>
        </w:rPr>
        <w:br/>
        <w:t xml:space="preserve">при формировании проекта федерального бюджета на 2027 год </w:t>
      </w:r>
      <w:r>
        <w:rPr>
          <w:szCs w:val="28"/>
        </w:rPr>
        <w:br/>
        <w:t>и на плановый период 2028 и 2029 годов: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1) обеспечить своевременную подготовку и принятие нормативных правовых актов, необходимых для реализации положений федерального закона о федеральном бюджете </w:t>
      </w:r>
      <w:r>
        <w:rPr>
          <w:szCs w:val="28"/>
        </w:rPr>
        <w:br/>
        <w:t>на 2027 год и на плановый период 2028 и 2029 годов;</w:t>
      </w:r>
    </w:p>
    <w:p w:rsidR="00627FBE" w:rsidRDefault="00627FBE" w:rsidP="00627FBE">
      <w:pPr>
        <w:rPr>
          <w:szCs w:val="28"/>
        </w:rPr>
      </w:pPr>
      <w:r>
        <w:rPr>
          <w:color w:val="000000"/>
          <w:szCs w:val="28"/>
        </w:rPr>
        <w:t xml:space="preserve">2) провести оценку состояния долговой устойчивости государственных корпораций, государственных компаний, публично-правовых компаний и акционерных обществ с участием Российской Федерации, </w:t>
      </w:r>
      <w:r>
        <w:rPr>
          <w:szCs w:val="28"/>
        </w:rPr>
        <w:t>предусмотреть меры по ограничению наращивания задолженности по кредитам и облигационным займам организаций с государственным участием, являющихся крупными заемщиками, а также проводить мониторинг размера такой задолженности;</w:t>
      </w:r>
    </w:p>
    <w:p w:rsidR="00627FBE" w:rsidRDefault="00627FBE" w:rsidP="00627FBE">
      <w:pPr>
        <w:rPr>
          <w:color w:val="000000"/>
          <w:szCs w:val="28"/>
        </w:rPr>
      </w:pPr>
      <w:r>
        <w:rPr>
          <w:color w:val="000000"/>
          <w:szCs w:val="28"/>
        </w:rPr>
        <w:t xml:space="preserve">3) рассмотреть вопрос о совершенствовании подходов </w:t>
      </w:r>
      <w:r>
        <w:rPr>
          <w:color w:val="000000"/>
          <w:szCs w:val="28"/>
        </w:rPr>
        <w:br/>
        <w:t xml:space="preserve">к управлению дебиторской задолженностью бюджетов бюджетной системы Российской Федерации; </w:t>
      </w:r>
    </w:p>
    <w:p w:rsidR="00627FBE" w:rsidRDefault="00627FBE" w:rsidP="00627FBE">
      <w:pPr>
        <w:rPr>
          <w:color w:val="000000" w:themeColor="text1"/>
        </w:rPr>
      </w:pPr>
      <w:r>
        <w:t xml:space="preserve">4) обеспечить повышение качества планирования показателей государственных программ Российской Федерации, </w:t>
      </w:r>
      <w:r>
        <w:br/>
        <w:t xml:space="preserve">в том числе с учетом уровня фактически достигнутых значений </w:t>
      </w:r>
      <w:r>
        <w:br/>
        <w:t xml:space="preserve">в предыдущем периоде, а также предусмотреть корректировку государственных программ </w:t>
      </w:r>
      <w:r>
        <w:rPr>
          <w:color w:val="000000" w:themeColor="text1"/>
        </w:rPr>
        <w:t xml:space="preserve">Российской Федерации, имеющих низкую результативность, и программ с дублирующими мероприятиями; </w:t>
      </w:r>
    </w:p>
    <w:p w:rsidR="00627FBE" w:rsidRDefault="00627FBE" w:rsidP="00627FBE">
      <w:r>
        <w:rPr>
          <w:color w:val="000000" w:themeColor="text1"/>
        </w:rPr>
        <w:t xml:space="preserve">5) рассмотреть вопрос об увеличении объемов финансирования мероприятий государственной </w:t>
      </w:r>
      <w:r>
        <w:t xml:space="preserve">программы Российской Федерации "Комплексное развитие сельских </w:t>
      </w:r>
      <w:r>
        <w:lastRenderedPageBreak/>
        <w:t>территорий", утвержденной постановлением Правительства Российской Федерации от 31 мая 2019 года №</w:t>
      </w:r>
      <w:r>
        <w:rPr>
          <w:lang w:val="en-US"/>
        </w:rPr>
        <w:t> </w:t>
      </w:r>
      <w:r>
        <w:t xml:space="preserve">696;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6) продолжить работу по повышению эффективности управления федеральным имуществом и сокращению количества объектов федерального имущества, не связанных с реализацией полномочий органов государственной власти;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>7) продолжить реализацию мер по оперативному вовлечению в хозяйственный оборот имущества, обращенного в доход государства;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8) обеспечить соблюдение сроков строительства, реконструкции и капитального ремонта объектов капитального строительства, финансирование которых предусмотрено за счет средств федерального бюджета;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>9)</w:t>
      </w:r>
      <w:r>
        <w:rPr>
          <w:szCs w:val="28"/>
          <w:lang w:val="en-US"/>
        </w:rPr>
        <w:t> </w:t>
      </w:r>
      <w:r>
        <w:rPr>
          <w:szCs w:val="28"/>
        </w:rPr>
        <w:t xml:space="preserve">рассмотреть возможность установления в 2027 году механизма, обеспечивающего финансирование проектирования, строительства и реконструкции объектов капитального строительства </w:t>
      </w:r>
      <w:r w:rsidR="00E02759">
        <w:rPr>
          <w:szCs w:val="28"/>
        </w:rPr>
        <w:t>в объеме</w:t>
      </w:r>
      <w:r>
        <w:rPr>
          <w:szCs w:val="28"/>
        </w:rPr>
        <w:t>: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средств, полученных от возврата дебиторской задолженности по государственным контрактам (договорам) на строительство </w:t>
      </w:r>
      <w:r>
        <w:rPr>
          <w:szCs w:val="28"/>
        </w:rPr>
        <w:br/>
        <w:t>и реконструкцию объектов капитального строительства, исполненным (частично исполненным) в предыдущие годы;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>не возвращенных в доход федерального бюджета неиспользованных авансовых платежей при расторжении государственных контрактов (договоров);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>10)</w:t>
      </w:r>
      <w:r>
        <w:rPr>
          <w:szCs w:val="28"/>
          <w:lang w:val="en-US"/>
        </w:rPr>
        <w:t> </w:t>
      </w:r>
      <w:r>
        <w:rPr>
          <w:szCs w:val="28"/>
        </w:rPr>
        <w:t>рассмотреть вопрос об инвентаризации функций федеральных государственных бюджетных учреждений, осуществляющих полномочия федеральных органов исполнительной власти, в целях оптимизации бюджетных расходов;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>11)</w:t>
      </w:r>
      <w:r>
        <w:rPr>
          <w:szCs w:val="28"/>
          <w:lang w:val="en-US"/>
        </w:rPr>
        <w:t> </w:t>
      </w:r>
      <w:r>
        <w:rPr>
          <w:szCs w:val="28"/>
        </w:rPr>
        <w:t xml:space="preserve">рассмотреть вопрос о компенсации бюджетам приграничных субъектов Российской Федерации, в частности Курской области, расходов, связанных с организацией перевозки граждан из приграничных районов Российской Федерации в пункты временного размещения, граждан, призванных на военную службу по мобилизации, и льготных категорий граждан, а также </w:t>
      </w:r>
      <w:r>
        <w:rPr>
          <w:szCs w:val="28"/>
        </w:rPr>
        <w:br/>
        <w:t>с транспортным обслуживанием в рамках заключенных государственных контрактов;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12) рассмотреть вопрос об установлении особенностей субсидирования организаций воздушного транспорта, осуществляющих воздушные перевозки пассажиров по маршрутам </w:t>
      </w:r>
      <w:r>
        <w:rPr>
          <w:szCs w:val="28"/>
        </w:rPr>
        <w:lastRenderedPageBreak/>
        <w:t xml:space="preserve">в Калининградскую область и из нее, с учетом фактической потребности населения Калининградской области в указанных перевозках и компенсации затрат на ее обеспечение в полном объеме;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13) продолжить работу по совершенствованию применения механизма концессионных соглашений; </w:t>
      </w:r>
    </w:p>
    <w:p w:rsidR="00627FBE" w:rsidRDefault="00627FBE" w:rsidP="00627FBE">
      <w:pPr>
        <w:rPr>
          <w:szCs w:val="28"/>
        </w:rPr>
      </w:pPr>
      <w:r>
        <w:rPr>
          <w:szCs w:val="28"/>
          <w:lang w:eastAsia="en-US"/>
        </w:rPr>
        <w:t xml:space="preserve">14) продолжить работу по </w:t>
      </w:r>
      <w:r>
        <w:rPr>
          <w:szCs w:val="28"/>
        </w:rPr>
        <w:t xml:space="preserve">повышению эффективности деятельности акционерного общества "Почта России"; </w:t>
      </w:r>
    </w:p>
    <w:p w:rsidR="00627FBE" w:rsidRDefault="00627FBE" w:rsidP="00627FBE">
      <w:pPr>
        <w:shd w:val="clear" w:color="auto" w:fill="FFFFFF"/>
        <w:rPr>
          <w:szCs w:val="28"/>
        </w:rPr>
      </w:pPr>
      <w:r>
        <w:rPr>
          <w:szCs w:val="28"/>
        </w:rPr>
        <w:t>15)</w:t>
      </w:r>
      <w:r>
        <w:rPr>
          <w:szCs w:val="28"/>
          <w:lang w:val="en-US"/>
        </w:rPr>
        <w:t> </w:t>
      </w:r>
      <w:r>
        <w:rPr>
          <w:szCs w:val="28"/>
        </w:rPr>
        <w:t xml:space="preserve">рассмотреть вопрос о введении в отношении публичных акционерных обществ мер стимулирования, включая налоговые, </w:t>
      </w:r>
      <w:r>
        <w:rPr>
          <w:szCs w:val="28"/>
        </w:rPr>
        <w:br/>
        <w:t xml:space="preserve">в целях повышения капитализации отечественного фондового рынка; </w:t>
      </w:r>
    </w:p>
    <w:p w:rsidR="00627FBE" w:rsidRDefault="00627FBE" w:rsidP="00627FBE">
      <w:pPr>
        <w:shd w:val="clear" w:color="auto" w:fill="FFFFFF"/>
        <w:rPr>
          <w:szCs w:val="28"/>
        </w:rPr>
      </w:pPr>
      <w:r>
        <w:rPr>
          <w:szCs w:val="28"/>
        </w:rPr>
        <w:t>16)</w:t>
      </w:r>
      <w:r>
        <w:rPr>
          <w:szCs w:val="28"/>
          <w:lang w:val="en-US"/>
        </w:rPr>
        <w:t> </w:t>
      </w:r>
      <w:r>
        <w:rPr>
          <w:szCs w:val="28"/>
        </w:rPr>
        <w:t>рассмотреть вопрос о распространении положительного опыта отдельных субъектов Российск</w:t>
      </w:r>
      <w:r w:rsidR="005A7FDB">
        <w:rPr>
          <w:szCs w:val="28"/>
        </w:rPr>
        <w:t>о</w:t>
      </w:r>
      <w:r>
        <w:rPr>
          <w:szCs w:val="28"/>
        </w:rPr>
        <w:t xml:space="preserve">й Федерации по выявлению случаев нарушения оформления трудовых отношений с гражданами Российской Федерации в целях обеления экономики;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>17)</w:t>
      </w:r>
      <w:r>
        <w:rPr>
          <w:szCs w:val="28"/>
          <w:lang w:val="en-US"/>
        </w:rPr>
        <w:t> </w:t>
      </w:r>
      <w:r>
        <w:rPr>
          <w:szCs w:val="28"/>
        </w:rPr>
        <w:t xml:space="preserve">рассмотреть возможность учета данных социальной отчетности юридического лица, информации о его деловой репутации и об уровне соответствия его корпоративных </w:t>
      </w:r>
      <w:r>
        <w:rPr>
          <w:szCs w:val="28"/>
        </w:rPr>
        <w:br/>
        <w:t xml:space="preserve">программ национальному стандарту Российской Федерации </w:t>
      </w:r>
      <w:r>
        <w:rPr>
          <w:szCs w:val="28"/>
        </w:rPr>
        <w:br/>
        <w:t>ГОСТ Р 72119-2025 "Меры поддержки "Корпоративный демографический стандарт". Правила формирования корпоративных программ. Методика оценки работодателей (формирование КПД-рейтинга)" при предоставлении такому юридическому лицу мер государственной поддержки;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18) рассмотреть вопросы предотвращения нарушений заказчиками сроков оплаты договоров, заключаемых с субъектами малого и среднего предпринимательства в соответствии с Федеральным законом "О закупках товаров, работ, услуг отдельными видами юридических лиц", и недопущения включения </w:t>
      </w:r>
      <w:r>
        <w:rPr>
          <w:szCs w:val="28"/>
        </w:rPr>
        <w:br/>
        <w:t>в такие договоры крайне невыгодных условий для субъектов малого и среднего предпринимательства;</w:t>
      </w:r>
    </w:p>
    <w:p w:rsidR="00627FBE" w:rsidRDefault="00627FBE" w:rsidP="00627FBE">
      <w:pPr>
        <w:rPr>
          <w:szCs w:val="28"/>
        </w:rPr>
      </w:pPr>
      <w:r>
        <w:rPr>
          <w:bCs/>
          <w:szCs w:val="28"/>
        </w:rPr>
        <w:t>19) </w:t>
      </w:r>
      <w:r>
        <w:rPr>
          <w:szCs w:val="28"/>
        </w:rPr>
        <w:t>обеспечить последовательное внедрение механизма централизованных закупок в соответствии со статьей 26 Федерального закона "О</w:t>
      </w:r>
      <w:r>
        <w:rPr>
          <w:szCs w:val="28"/>
          <w:lang w:val="en-US"/>
        </w:rPr>
        <w:t> </w:t>
      </w:r>
      <w:r>
        <w:rPr>
          <w:szCs w:val="28"/>
        </w:rPr>
        <w:t xml:space="preserve">контрактной системе в сфере закупок товаров, работ, услуг для обеспечения государственных </w:t>
      </w:r>
      <w:r>
        <w:rPr>
          <w:szCs w:val="28"/>
        </w:rPr>
        <w:br/>
        <w:t xml:space="preserve">и муниципальных нужд" в отношении закупок медицинских изделий, приобретаемых для бюджетных учреждений субъектов Российской </w:t>
      </w:r>
      <w:r>
        <w:rPr>
          <w:szCs w:val="28"/>
        </w:rPr>
        <w:lastRenderedPageBreak/>
        <w:t xml:space="preserve">Федерации и муниципальных бюджетных учреждений </w:t>
      </w:r>
      <w:r>
        <w:rPr>
          <w:szCs w:val="28"/>
        </w:rPr>
        <w:br/>
        <w:t>с использованием средств федерального бюджета;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20) принять дополнительные меры по совершенствованию системы обеспечения инвалидов техническими средствами реабилитации, включая снижение уровня накопленной задолженности по их предоставлению; </w:t>
      </w:r>
    </w:p>
    <w:p w:rsidR="00627FBE" w:rsidRDefault="00627FBE" w:rsidP="00627FBE">
      <w:pPr>
        <w:rPr>
          <w:szCs w:val="28"/>
        </w:rPr>
      </w:pPr>
      <w:r>
        <w:rPr>
          <w:bCs/>
          <w:szCs w:val="28"/>
        </w:rPr>
        <w:t>21) продолжить совершенствование нормативно-правового регулирования предоставления санаторно-курортного лечения отдельным категориям граждан в рамках оказания государственной социальной помощи в виде набора социальных услуг;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22) провести работу по перераспределению бюджетных ассигнований, предусмотренных на осуществление полномочий </w:t>
      </w:r>
      <w:r>
        <w:rPr>
          <w:szCs w:val="28"/>
        </w:rPr>
        <w:br/>
        <w:t>по обеспечению жилыми помещениями категорий граждан, установленных Федеральным законом "О</w:t>
      </w:r>
      <w:r>
        <w:rPr>
          <w:szCs w:val="28"/>
          <w:lang w:val="en-US"/>
        </w:rPr>
        <w:t> </w:t>
      </w:r>
      <w:r>
        <w:rPr>
          <w:szCs w:val="28"/>
        </w:rPr>
        <w:t xml:space="preserve">ветеранах" (ветеранов боевых действий, нуждающихся в улучшении жилищных условий, вставших на учет до 1 января 2005 года) и Федеральным законом "О социальной защите инвалидов в Российской Федерации" (инвалидов, семей, имеющих детей-инвалидов, нуждающихся </w:t>
      </w:r>
      <w:r>
        <w:rPr>
          <w:szCs w:val="28"/>
        </w:rPr>
        <w:br/>
        <w:t>в улучшении жилищных условий, вставших на учет до 1 января 2005</w:t>
      </w:r>
      <w:r>
        <w:rPr>
          <w:szCs w:val="28"/>
          <w:lang w:val="en-US"/>
        </w:rPr>
        <w:t> </w:t>
      </w:r>
      <w:r>
        <w:rPr>
          <w:szCs w:val="28"/>
        </w:rPr>
        <w:t xml:space="preserve">года);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>23) провести оценку возможности предоставления семьям, имеющим детей, дополнительных мер государственной поддержки в виде полного или частичного погашения обязательств гражданина по ипотечному жилищному кредиту (займу) (в размере не более 450</w:t>
      </w:r>
      <w:r>
        <w:rPr>
          <w:szCs w:val="28"/>
          <w:lang w:val="en-US"/>
        </w:rPr>
        <w:t> </w:t>
      </w:r>
      <w:r>
        <w:rPr>
          <w:szCs w:val="28"/>
        </w:rPr>
        <w:t>тыс.</w:t>
      </w:r>
      <w:r>
        <w:rPr>
          <w:szCs w:val="28"/>
          <w:lang w:val="en-US"/>
        </w:rPr>
        <w:t> </w:t>
      </w:r>
      <w:r>
        <w:rPr>
          <w:szCs w:val="28"/>
        </w:rPr>
        <w:t xml:space="preserve">рублей) в случае рождения четвертого и каждого последующего ребенка в пределах бюджетных ассигнований, предусмотренных на реализацию этой меры государственной поддержки;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24) рассмотреть вопрос о выделении в приоритетном порядке бюджетных ассигнований на цели развития массового спорта </w:t>
      </w:r>
      <w:r>
        <w:rPr>
          <w:szCs w:val="28"/>
        </w:rPr>
        <w:br/>
        <w:t xml:space="preserve">как основы сохранения здоровья населения;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>25)</w:t>
      </w:r>
      <w:r>
        <w:rPr>
          <w:szCs w:val="28"/>
          <w:lang w:val="en-US"/>
        </w:rPr>
        <w:t> </w:t>
      </w:r>
      <w:r>
        <w:rPr>
          <w:szCs w:val="28"/>
        </w:rPr>
        <w:t xml:space="preserve">провести анализ данных о размере денежного довольствия, социальных выплат и компенсаций сотрудников органов внутренних дел, федеральной противопожарной службы Государственной противопожарной службы, учреждений и органов уголовно-исполнительной системы, войск национальной гвардии Российской Федерации, органов принудительного исполнения Российской Федерации и таможенных органов Российской </w:t>
      </w:r>
      <w:r>
        <w:rPr>
          <w:szCs w:val="28"/>
        </w:rPr>
        <w:lastRenderedPageBreak/>
        <w:t>Федерации и подготовить предложения о повышении размеров соответствующих выплат указанным лицам;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>26)</w:t>
      </w:r>
      <w:r>
        <w:rPr>
          <w:szCs w:val="28"/>
          <w:lang w:val="en-US"/>
        </w:rPr>
        <w:t> </w:t>
      </w:r>
      <w:r>
        <w:rPr>
          <w:szCs w:val="28"/>
        </w:rPr>
        <w:t xml:space="preserve">рассмотреть вопрос о финансировании мероприятий </w:t>
      </w:r>
      <w:r>
        <w:rPr>
          <w:szCs w:val="28"/>
        </w:rPr>
        <w:br/>
        <w:t xml:space="preserve">по приведению в соответствие установленным требованиям зданий, помещений, сооружений, коммуникаций военных комиссариатов на территориях субъектов Российской Федерации (в том числе в части обеспечения доступности для маломобильных групп населения);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>27) рассмотреть вопросы: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о выделении в необходимом объеме бюджетных ассигнований на </w:t>
      </w:r>
      <w:proofErr w:type="spellStart"/>
      <w:r>
        <w:rPr>
          <w:szCs w:val="28"/>
        </w:rPr>
        <w:t>софинансирование</w:t>
      </w:r>
      <w:proofErr w:type="spellEnd"/>
      <w:r>
        <w:rPr>
          <w:szCs w:val="28"/>
        </w:rPr>
        <w:t xml:space="preserve"> расходных обязательств субъектов Российской Федерации, имеющих труднодоступные местности, на осуществление закупок авиационных работ в целях оказания медицинской помощи (скорой медицинской помощи, </w:t>
      </w:r>
      <w:r>
        <w:rPr>
          <w:szCs w:val="28"/>
        </w:rPr>
        <w:br/>
        <w:t>в том числе скорой специализированной) в рамках реализации мероприятий федерального проекта "Совершенствование экстренной медицинской помощи", входящего в состав национального проекта "Продолжительная и активная жизнь";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о возможности распространения на территории Арктической зоны Российской Федерации поправочного коэффициента, применяемого при расчете субсидии на осуществление закупок авиационных работ субъектами Российской Федерации, входящими в состав Дальневосточного федерального округа, и включения </w:t>
      </w:r>
      <w:r>
        <w:rPr>
          <w:szCs w:val="28"/>
        </w:rPr>
        <w:br/>
        <w:t xml:space="preserve">в перечень мероприятий, осуществляемых за счет субсидии, строительства вертолетных площадок;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28) продолжить совершенствование методики распределения дотаций на выравнивание бюджетной обеспеченности субъектов Российской Федерации, утвержденной постановлением Правительства Российской Федерации от 22 ноября 2004 года № 670 "О распределении дотаций на выравнивание бюджетной обеспеченности субъектов Российской Федерации";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29) рассмотреть вопрос об уточнении подходов </w:t>
      </w:r>
      <w:r>
        <w:rPr>
          <w:szCs w:val="28"/>
        </w:rPr>
        <w:br/>
        <w:t xml:space="preserve">к формированию и распределению объемов дотации на частичную компенсацию дополнительных расходов на повышение оплаты труда работников бюджетной сферы, включая возможность </w:t>
      </w:r>
      <w:r>
        <w:rPr>
          <w:szCs w:val="28"/>
        </w:rPr>
        <w:br/>
        <w:t xml:space="preserve">ее предоставления бюджетам субъектов Российской Федерации, </w:t>
      </w:r>
      <w:r>
        <w:rPr>
          <w:szCs w:val="28"/>
        </w:rPr>
        <w:br/>
        <w:t xml:space="preserve">в которых предусмотрены процентные надбавки и районные коэффициенты к заработной плате указанных работников; </w:t>
      </w:r>
    </w:p>
    <w:p w:rsidR="00627FBE" w:rsidRDefault="00627FBE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  <w:rPr>
          <w:szCs w:val="28"/>
        </w:rPr>
      </w:pPr>
      <w:r>
        <w:rPr>
          <w:szCs w:val="28"/>
        </w:rPr>
        <w:br w:type="page"/>
      </w:r>
    </w:p>
    <w:p w:rsidR="00627FBE" w:rsidRDefault="00627FBE" w:rsidP="00627FBE">
      <w:pPr>
        <w:rPr>
          <w:rFonts w:cs="Calibri"/>
          <w:szCs w:val="28"/>
          <w:lang w:eastAsia="en-US"/>
        </w:rPr>
      </w:pPr>
      <w:r>
        <w:rPr>
          <w:szCs w:val="28"/>
        </w:rPr>
        <w:lastRenderedPageBreak/>
        <w:t>30) продолжить мониторинг практики и результатов применения механизма списания двух третей задолженности субъектов Российской Федерации перед Российской Федерацией по бюджетным кредитам</w:t>
      </w:r>
      <w:r>
        <w:rPr>
          <w:rFonts w:cs="Calibri"/>
          <w:szCs w:val="28"/>
          <w:lang w:eastAsia="en-US"/>
        </w:rPr>
        <w:t xml:space="preserve">;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31) проработать вопрос о совершенствовании механизма предоставления бюджетных кредитов бюджетам субъектов Российской Федерации на пополнение остатка средств на едином счете бюджета, в том числе рассмотреть возможность предоставления бюджетам субъектов Российской Федерации кредитов под потребность (кассовый разрыв) в порядке расчета </w:t>
      </w:r>
      <w:r>
        <w:rPr>
          <w:szCs w:val="28"/>
        </w:rPr>
        <w:br/>
        <w:t xml:space="preserve">по счету (кредит в форме овердрафта с расходным лимитом) </w:t>
      </w:r>
      <w:r>
        <w:rPr>
          <w:szCs w:val="28"/>
        </w:rPr>
        <w:br/>
        <w:t xml:space="preserve">с взиманием платы за фактический период привлечения;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32) осуществлять оперативный контроль за динамикой </w:t>
      </w:r>
      <w:r>
        <w:rPr>
          <w:szCs w:val="28"/>
        </w:rPr>
        <w:br/>
        <w:t>и структурой задолженности бюджетов субъектов Российской Федерации;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33) принять дополнительные меры по ограничению просроченной кредиторской задолженности бюджетов субъектов Российской Федерации и местных бюджетов в консолидированных бюджетах субъектов Российской Федерации;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34) рассмотреть вопрос о разработке дополнительных мер </w:t>
      </w:r>
      <w:r>
        <w:rPr>
          <w:szCs w:val="28"/>
        </w:rPr>
        <w:br/>
        <w:t xml:space="preserve">по проведению бюджетной консолидации, включая оптимизацию расходов бюджетов субъектов Российской Федерации и поиск направлений наращивания их доходной базы;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>35)</w:t>
      </w:r>
      <w:r>
        <w:rPr>
          <w:szCs w:val="28"/>
          <w:lang w:val="en-US"/>
        </w:rPr>
        <w:t> </w:t>
      </w:r>
      <w:r>
        <w:rPr>
          <w:szCs w:val="28"/>
        </w:rPr>
        <w:t xml:space="preserve">продолжить мониторинг исполнения бюджетов субъектов Российской Федерации, в том числе тех субъектов Российской Федерации, у которых существенное снижение налоговых доходов бюджетов обусловлено ухудшением показателей добывающего </w:t>
      </w:r>
      <w:r>
        <w:rPr>
          <w:szCs w:val="28"/>
        </w:rPr>
        <w:br/>
        <w:t>и обрабатывающего секторов промышленности, и при необходимости оказать им дополнительную поддержку;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36) провести мониторинг поступлений в бюджеты субъектов Российской Федерации доходов от уплаты акцизов на этиловый спирт, алкогольную и спиртосодержащую продукцию и при необходимости подготовить предложения по корректировке распределения указанных доходов между бюджетами субъектов Российской Федерации;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37) проработать вопрос о совершенствовании механизма предоставления регионального инвестиционного налогового вычета по налогу на прибыль организаций с учетом необходимости повышения эффективности налоговых расходов субъектов </w:t>
      </w:r>
      <w:r>
        <w:rPr>
          <w:szCs w:val="28"/>
        </w:rPr>
        <w:lastRenderedPageBreak/>
        <w:t>Российской Федерации, предусмотрев в том числе ограничение применения указанного вычета в отношении отдельных высокорентабельных отраслей;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38) проанализировать эффективность применения демпферного механизма в отношении </w:t>
      </w:r>
      <w:r>
        <w:rPr>
          <w:bCs/>
          <w:szCs w:val="28"/>
        </w:rPr>
        <w:t>моторного</w:t>
      </w:r>
      <w:r>
        <w:rPr>
          <w:szCs w:val="28"/>
        </w:rPr>
        <w:t xml:space="preserve"> топлива и его влияние на уровень </w:t>
      </w:r>
      <w:r>
        <w:rPr>
          <w:bCs/>
          <w:szCs w:val="28"/>
        </w:rPr>
        <w:t>внутренних</w:t>
      </w:r>
      <w:r>
        <w:rPr>
          <w:szCs w:val="28"/>
        </w:rPr>
        <w:t xml:space="preserve"> цен на </w:t>
      </w:r>
      <w:r>
        <w:rPr>
          <w:bCs/>
          <w:szCs w:val="28"/>
        </w:rPr>
        <w:t>такое</w:t>
      </w:r>
      <w:r>
        <w:rPr>
          <w:szCs w:val="28"/>
        </w:rPr>
        <w:t xml:space="preserve"> топливо в целях подготовки предложений по совершенствованию этого механизма;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39) продолжить работу по выявлению объектов недвижимости и земельных участков, сведения о которых отсутствуют </w:t>
      </w:r>
      <w:r>
        <w:rPr>
          <w:szCs w:val="28"/>
        </w:rPr>
        <w:br/>
        <w:t xml:space="preserve">в государственных информационных системах, и обеспечению </w:t>
      </w:r>
      <w:r>
        <w:rPr>
          <w:szCs w:val="28"/>
        </w:rPr>
        <w:br/>
        <w:t>их учета для целей налогообложения;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40) проработать вопрос об исчислении налога на имущество организаций в отношении объектов недвижимого имущества, переданных в аренду, исходя из их кадастровой стоимости </w:t>
      </w:r>
      <w:r>
        <w:rPr>
          <w:szCs w:val="28"/>
        </w:rPr>
        <w:br/>
        <w:t>в целях расширения доходной базы субъектов Российской Федерации;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>41) проработать вопрос о повышении эффективности администрирования имущественных налогов в отношении объектов недвижимости, фактически используемых в предпринимательской деятельности, независимо от вида вещного права на такие объекты;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>42) продолжить работу по совершенствованию применения туристического налога, предусмотрев в том числе снятие установленного Федеральным законом "О</w:t>
      </w:r>
      <w:r>
        <w:rPr>
          <w:szCs w:val="28"/>
          <w:lang w:val="en-US"/>
        </w:rPr>
        <w:t> </w:t>
      </w:r>
      <w:r>
        <w:rPr>
          <w:szCs w:val="28"/>
        </w:rPr>
        <w:t xml:space="preserve">проведении эксперимента по предоставлению услуг гостевых домов" ограничения на количество индивидуальных жилых домов и (или) частей индивидуального жилого дома, принадлежащих физическому лицу на праве собственности и соответствующих требованиям, предъявляемым к гостевым домам, в целях их включения в реестр квалифицированных средств размещения, </w:t>
      </w:r>
      <w:r>
        <w:rPr>
          <w:szCs w:val="28"/>
        </w:rPr>
        <w:br/>
        <w:t xml:space="preserve">а также расширение территории проведения эксперимента </w:t>
      </w:r>
      <w:r>
        <w:rPr>
          <w:szCs w:val="28"/>
        </w:rPr>
        <w:br/>
        <w:t xml:space="preserve">по предоставлению услуг гостевых домов; </w:t>
      </w:r>
    </w:p>
    <w:p w:rsidR="00627FBE" w:rsidRDefault="00627FBE" w:rsidP="00627FBE">
      <w:pPr>
        <w:rPr>
          <w:szCs w:val="28"/>
        </w:rPr>
      </w:pPr>
      <w:r>
        <w:rPr>
          <w:color w:val="000000"/>
          <w:szCs w:val="28"/>
        </w:rPr>
        <w:t>43) </w:t>
      </w:r>
      <w:r>
        <w:rPr>
          <w:szCs w:val="28"/>
        </w:rPr>
        <w:t xml:space="preserve">продолжить работу по инвентаризации налоговых льгот, установленных Налоговым кодексом Российской Федерации, повышению объективности их оценки, в том числе в части соответствия целевой направленности их введения, </w:t>
      </w:r>
      <w:r>
        <w:rPr>
          <w:szCs w:val="28"/>
        </w:rPr>
        <w:br/>
        <w:t>по формированию единых подходов к их оценке и подготовить предложения по отмене или корректировке неэффективных налоговых льгот;</w:t>
      </w:r>
    </w:p>
    <w:p w:rsidR="00627FBE" w:rsidRDefault="00627FBE" w:rsidP="00627FBE">
      <w:pPr>
        <w:rPr>
          <w:color w:val="000000"/>
          <w:szCs w:val="28"/>
        </w:rPr>
      </w:pPr>
      <w:r>
        <w:rPr>
          <w:szCs w:val="28"/>
        </w:rPr>
        <w:lastRenderedPageBreak/>
        <w:t>44) </w:t>
      </w:r>
      <w:r>
        <w:rPr>
          <w:color w:val="000000"/>
          <w:szCs w:val="28"/>
        </w:rPr>
        <w:t>проанализировать объемы поступлений утилизационного сбора в федеральный бюджет и эффективность использования средств от его взимания, подготовить предложения по оптимизации взимания утилизационного сбора;</w:t>
      </w:r>
    </w:p>
    <w:p w:rsidR="00627FBE" w:rsidRDefault="00627FBE" w:rsidP="00627FBE">
      <w:pPr>
        <w:rPr>
          <w:color w:val="000000"/>
          <w:szCs w:val="28"/>
        </w:rPr>
      </w:pPr>
      <w:r>
        <w:rPr>
          <w:color w:val="000000"/>
          <w:szCs w:val="28"/>
        </w:rPr>
        <w:t xml:space="preserve">45) проводить мониторинг финансово-экономических последствий изменения условий налогообложения субъектов малого и среднего предпринимательства, в том числе в части введения налога на добавленную стоимость для налогоплательщиков, применяющих упрощенную систему налогообложения, и его влияния на бюджеты бюджетной системы Российской Федерации.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2. Рекомендовать Правительству Российской Федерации </w:t>
      </w:r>
      <w:r>
        <w:rPr>
          <w:szCs w:val="28"/>
        </w:rPr>
        <w:br/>
        <w:t>и органам государственной власти субъектов Российской Федерации: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1) принять меры по повышению эффективности реализации государственных программ, обеспечив повышение качества подготовки государственных программ, сбалансированность </w:t>
      </w:r>
      <w:r>
        <w:rPr>
          <w:szCs w:val="28"/>
        </w:rPr>
        <w:br/>
        <w:t xml:space="preserve">их структурных элементов, а также учет ограничений и рисков </w:t>
      </w:r>
      <w:r>
        <w:rPr>
          <w:szCs w:val="28"/>
        </w:rPr>
        <w:br/>
        <w:t>их реализации в плановом периоде;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2) обеспечить повышение эффективности инфраструктурных проектов, реализуемых в субъектах Российской Федерации за счет бюджетных кредитов из федерального бюджета, в том числе выполнение плановых значений показателей реализации инфраструктурных проектов в части соблюдения сроков завершения соответствующих мероприятий.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>3. Рекомендовать органам государственной власти субъектов Российской Федерации: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>1)</w:t>
      </w:r>
      <w:r>
        <w:rPr>
          <w:szCs w:val="28"/>
          <w:lang w:val="en-US"/>
        </w:rPr>
        <w:t> </w:t>
      </w:r>
      <w:r>
        <w:rPr>
          <w:szCs w:val="28"/>
        </w:rPr>
        <w:t>обеспечить в полной мере использование имеющихся механизмов финансового обеспечения реализации инфраструктурных проектов;</w:t>
      </w:r>
    </w:p>
    <w:p w:rsidR="00627FBE" w:rsidRDefault="00627FBE" w:rsidP="00627FBE">
      <w:pPr>
        <w:rPr>
          <w:rFonts w:cs="Calibri"/>
          <w:szCs w:val="28"/>
          <w:lang w:eastAsia="en-US"/>
        </w:rPr>
      </w:pPr>
      <w:r>
        <w:rPr>
          <w:rFonts w:cs="Calibri"/>
          <w:szCs w:val="28"/>
          <w:lang w:eastAsia="en-US"/>
        </w:rPr>
        <w:t>2)</w:t>
      </w:r>
      <w:r>
        <w:rPr>
          <w:rFonts w:cs="Calibri"/>
          <w:szCs w:val="28"/>
          <w:lang w:val="en-US" w:eastAsia="en-US"/>
        </w:rPr>
        <w:t> </w:t>
      </w:r>
      <w:r>
        <w:rPr>
          <w:rFonts w:cs="Calibri"/>
          <w:szCs w:val="28"/>
          <w:lang w:eastAsia="en-US"/>
        </w:rPr>
        <w:t xml:space="preserve">продолжить работу по обеспечению целевого </w:t>
      </w:r>
      <w:r>
        <w:rPr>
          <w:rFonts w:cs="Calibri"/>
          <w:szCs w:val="28"/>
          <w:lang w:eastAsia="en-US"/>
        </w:rPr>
        <w:br/>
        <w:t>и эффективного использования средств бюджетных кредитов, полученных из федерального бюджета на финансовое обеспечение реализации инфраструктурных проектов;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>3)</w:t>
      </w:r>
      <w:r>
        <w:rPr>
          <w:szCs w:val="28"/>
          <w:lang w:val="en-US"/>
        </w:rPr>
        <w:t> </w:t>
      </w:r>
      <w:r>
        <w:rPr>
          <w:szCs w:val="28"/>
        </w:rPr>
        <w:t xml:space="preserve">принять меры по повышению эффективности реализации мероприятий по созданию и модернизации объектов социальной инфраструктуры, в том числе за счет определения текущей </w:t>
      </w:r>
      <w:r>
        <w:rPr>
          <w:szCs w:val="28"/>
        </w:rPr>
        <w:br/>
        <w:t xml:space="preserve">и прогнозной потребности в таких объектах, их </w:t>
      </w:r>
      <w:proofErr w:type="spellStart"/>
      <w:r>
        <w:rPr>
          <w:szCs w:val="28"/>
        </w:rPr>
        <w:t>приоритизации</w:t>
      </w:r>
      <w:proofErr w:type="spellEnd"/>
      <w:r>
        <w:rPr>
          <w:szCs w:val="28"/>
        </w:rPr>
        <w:t xml:space="preserve"> исходя из потребностей населения и возможностей субъектов </w:t>
      </w:r>
      <w:r>
        <w:rPr>
          <w:szCs w:val="28"/>
        </w:rPr>
        <w:lastRenderedPageBreak/>
        <w:t xml:space="preserve">Российской Федерации, а также своевременной контрактации </w:t>
      </w:r>
      <w:r>
        <w:rPr>
          <w:szCs w:val="28"/>
        </w:rPr>
        <w:br/>
        <w:t xml:space="preserve">и контроля за исполнением обязательств подрядными организациями; </w:t>
      </w:r>
    </w:p>
    <w:p w:rsidR="00627FBE" w:rsidRDefault="00627FBE" w:rsidP="00627FBE">
      <w:pPr>
        <w:pStyle w:val="af2"/>
        <w:spacing w:before="0" w:beforeAutospacing="0" w:after="0" w:afterAutospacing="0" w:line="360" w:lineRule="atLeast"/>
        <w:ind w:left="567" w:firstLine="851"/>
        <w:jc w:val="both"/>
        <w:rPr>
          <w:rFonts w:ascii="NTHarmonica" w:hAnsi="NTHarmonica"/>
          <w:sz w:val="28"/>
          <w:szCs w:val="28"/>
        </w:rPr>
      </w:pPr>
      <w:r>
        <w:rPr>
          <w:rFonts w:ascii="NTHarmonica" w:hAnsi="NTHarmonica"/>
          <w:sz w:val="28"/>
          <w:szCs w:val="28"/>
        </w:rPr>
        <w:t>4)</w:t>
      </w:r>
      <w:r>
        <w:rPr>
          <w:rFonts w:ascii="NTHarmonica" w:hAnsi="NTHarmonica"/>
          <w:sz w:val="28"/>
          <w:szCs w:val="28"/>
          <w:lang w:val="en-US"/>
        </w:rPr>
        <w:t> </w:t>
      </w:r>
      <w:r>
        <w:rPr>
          <w:rFonts w:ascii="NTHarmonica" w:hAnsi="NTHarmonica"/>
          <w:sz w:val="28"/>
          <w:szCs w:val="28"/>
        </w:rPr>
        <w:t xml:space="preserve">усилить контроль за ведением регионального сегмента Федерального регистра лиц, страдающих </w:t>
      </w:r>
      <w:proofErr w:type="spellStart"/>
      <w:r>
        <w:rPr>
          <w:rFonts w:ascii="NTHarmonica" w:hAnsi="NTHarmonica"/>
          <w:sz w:val="28"/>
          <w:szCs w:val="28"/>
        </w:rPr>
        <w:t>жизнеугрожающими</w:t>
      </w:r>
      <w:proofErr w:type="spellEnd"/>
      <w:r>
        <w:rPr>
          <w:rFonts w:ascii="NTHarmonica" w:hAnsi="NTHarmonica"/>
          <w:sz w:val="28"/>
          <w:szCs w:val="28"/>
        </w:rPr>
        <w:t xml:space="preserve"> </w:t>
      </w:r>
      <w:r>
        <w:rPr>
          <w:rFonts w:ascii="NTHarmonica" w:hAnsi="NTHarmonica"/>
          <w:sz w:val="28"/>
          <w:szCs w:val="28"/>
        </w:rPr>
        <w:br/>
        <w:t>и хроническими прогрессирующими редкими (</w:t>
      </w:r>
      <w:proofErr w:type="spellStart"/>
      <w:r>
        <w:rPr>
          <w:rFonts w:ascii="NTHarmonica" w:hAnsi="NTHarmonica"/>
          <w:sz w:val="28"/>
          <w:szCs w:val="28"/>
        </w:rPr>
        <w:t>орфанными</w:t>
      </w:r>
      <w:proofErr w:type="spellEnd"/>
      <w:r>
        <w:rPr>
          <w:rFonts w:ascii="NTHarmonica" w:hAnsi="NTHarmonica"/>
          <w:sz w:val="28"/>
          <w:szCs w:val="28"/>
        </w:rPr>
        <w:t>) заболеваниями, приводящими к сокращению продолжительности жизни граждан или их инвалидности, и своевременным представлением сведений, содержащихся в нем, в уполномоченный федеральный орган исполнительной власти в порядке, установленном Правительством Российской Федерации.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 xml:space="preserve">4. Комитету Совета Федерации по бюджету и финансовым рынкам во взаимодействии с Правительством Российской Федерации продолжить работу по совершенствованию методик распределения межбюджетных трансфертов бюджетам субъектов Российской Федерации, а также отдельных правил предоставления и распределения межбюджетных трансфертов из федерального бюджета бюджетам субъектов Российской Федерации в целях учета особенностей субъектов Российской Федерации и создания условий для наращивания ими собственного экономического потенциала. </w:t>
      </w:r>
    </w:p>
    <w:p w:rsidR="00627FBE" w:rsidRDefault="00627FBE" w:rsidP="00627FBE">
      <w:pPr>
        <w:rPr>
          <w:szCs w:val="28"/>
        </w:rPr>
      </w:pPr>
      <w:r>
        <w:rPr>
          <w:szCs w:val="28"/>
        </w:rPr>
        <w:t>5. Настоящее постановление вступает в силу со дня его принятия.</w:t>
      </w:r>
    </w:p>
    <w:p w:rsidR="00627FBE" w:rsidRDefault="00627FBE" w:rsidP="00627FBE"/>
    <w:p w:rsidR="00627FBE" w:rsidRDefault="00627FBE" w:rsidP="00627FBE"/>
    <w:p w:rsidR="00627FBE" w:rsidRDefault="00627FBE" w:rsidP="00627FBE"/>
    <w:p w:rsidR="008E1D3C" w:rsidRDefault="008E1D3C" w:rsidP="005A7FDB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proofErr w:type="spellStart"/>
      <w:r>
        <w:t>В.И</w:t>
      </w:r>
      <w:proofErr w:type="spellEnd"/>
      <w:r>
        <w:t>. МАТВИЕНКО</w:t>
      </w:r>
    </w:p>
    <w:p w:rsidR="00627FBE" w:rsidRDefault="00627FBE" w:rsidP="00627FBE">
      <w:pPr>
        <w:pStyle w:val="ac"/>
      </w:pPr>
    </w:p>
    <w:p w:rsidR="005A7FDB" w:rsidRDefault="005A7FDB" w:rsidP="00627FBE">
      <w:pPr>
        <w:pStyle w:val="ac"/>
      </w:pPr>
    </w:p>
    <w:p w:rsidR="005A7FDB" w:rsidRDefault="005A7FDB" w:rsidP="00627FBE">
      <w:pPr>
        <w:pStyle w:val="ac"/>
      </w:pPr>
    </w:p>
    <w:p w:rsidR="005A7FDB" w:rsidRDefault="005A7FDB" w:rsidP="00545F85">
      <w:pPr>
        <w:pStyle w:val="af"/>
      </w:pPr>
      <w:r>
        <w:t>Москва</w:t>
      </w:r>
    </w:p>
    <w:p w:rsidR="005A7FDB" w:rsidRDefault="005A7FDB" w:rsidP="00545F85">
      <w:pPr>
        <w:pStyle w:val="af"/>
      </w:pPr>
      <w:r>
        <w:t>1 июля 2026 года</w:t>
      </w:r>
    </w:p>
    <w:p w:rsidR="005A7FDB" w:rsidRPr="00482F30" w:rsidRDefault="005A7FDB" w:rsidP="00545F85">
      <w:pPr>
        <w:pStyle w:val="af"/>
      </w:pPr>
      <w:r>
        <w:t>№ 282-СФ</w:t>
      </w:r>
    </w:p>
    <w:sectPr w:rsidR="005A7FDB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8D7" w:rsidRDefault="004358D7">
      <w:pPr>
        <w:spacing w:line="240" w:lineRule="auto"/>
      </w:pPr>
      <w:r>
        <w:separator/>
      </w:r>
    </w:p>
  </w:endnote>
  <w:endnote w:type="continuationSeparator" w:id="0">
    <w:p w:rsidR="004358D7" w:rsidRDefault="00435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81E258B5-E90F-4DD0-A526-E217881919C8}"/>
    <w:embedBold r:id="rId2" w:fontKey="{04C9B3FD-09F1-4AE8-9D4B-F6EF8B4AB735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ED372302-1E49-4D65-8B93-0CE5648A2AB0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8E1D3C" w:rsidRDefault="008E1D3C" w:rsidP="008E1D3C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A7FDB">
      <w:rPr>
        <w:noProof/>
      </w:rPr>
      <w:t>sa11187.docx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5A7FDB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8E1D3C" w:rsidRDefault="008E1D3C" w:rsidP="008E1D3C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A7FDB">
      <w:rPr>
        <w:noProof/>
      </w:rPr>
      <w:t>sa11187.docx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5A7FDB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8D7" w:rsidRDefault="004358D7">
      <w:pPr>
        <w:spacing w:line="240" w:lineRule="auto"/>
      </w:pPr>
      <w:r>
        <w:separator/>
      </w:r>
    </w:p>
  </w:footnote>
  <w:footnote w:type="continuationSeparator" w:id="0">
    <w:p w:rsidR="004358D7" w:rsidRDefault="004358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781BA2">
      <w:rPr>
        <w:rStyle w:val="ab"/>
        <w:noProof/>
      </w:rPr>
      <w:t>11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EE"/>
    <w:rsid w:val="00046D42"/>
    <w:rsid w:val="000528CE"/>
    <w:rsid w:val="00085F4A"/>
    <w:rsid w:val="000D3F67"/>
    <w:rsid w:val="000E5F7A"/>
    <w:rsid w:val="001057BD"/>
    <w:rsid w:val="00137A23"/>
    <w:rsid w:val="0019279F"/>
    <w:rsid w:val="001A569E"/>
    <w:rsid w:val="001B3253"/>
    <w:rsid w:val="001B4D0A"/>
    <w:rsid w:val="001C6F9D"/>
    <w:rsid w:val="00205211"/>
    <w:rsid w:val="002623D0"/>
    <w:rsid w:val="00286C11"/>
    <w:rsid w:val="002A1E3D"/>
    <w:rsid w:val="002A4C6B"/>
    <w:rsid w:val="002B2364"/>
    <w:rsid w:val="002B772D"/>
    <w:rsid w:val="003114B9"/>
    <w:rsid w:val="003273F1"/>
    <w:rsid w:val="0033723C"/>
    <w:rsid w:val="0035125E"/>
    <w:rsid w:val="003877E3"/>
    <w:rsid w:val="003A517A"/>
    <w:rsid w:val="003D2706"/>
    <w:rsid w:val="00404A10"/>
    <w:rsid w:val="00423816"/>
    <w:rsid w:val="004358D7"/>
    <w:rsid w:val="00436476"/>
    <w:rsid w:val="004A68AB"/>
    <w:rsid w:val="004B2E00"/>
    <w:rsid w:val="004B7E5C"/>
    <w:rsid w:val="004F1B94"/>
    <w:rsid w:val="004F6EF6"/>
    <w:rsid w:val="004F79C6"/>
    <w:rsid w:val="00505068"/>
    <w:rsid w:val="00545F85"/>
    <w:rsid w:val="0057404E"/>
    <w:rsid w:val="00585FEE"/>
    <w:rsid w:val="005A7FDB"/>
    <w:rsid w:val="005B2AEB"/>
    <w:rsid w:val="005D0978"/>
    <w:rsid w:val="005D24B1"/>
    <w:rsid w:val="00605ED7"/>
    <w:rsid w:val="00611388"/>
    <w:rsid w:val="0062660E"/>
    <w:rsid w:val="00627FBE"/>
    <w:rsid w:val="00635892"/>
    <w:rsid w:val="00642D4D"/>
    <w:rsid w:val="00642F01"/>
    <w:rsid w:val="00700E31"/>
    <w:rsid w:val="00720496"/>
    <w:rsid w:val="00723EF8"/>
    <w:rsid w:val="007466E4"/>
    <w:rsid w:val="00776625"/>
    <w:rsid w:val="0078182C"/>
    <w:rsid w:val="00781A58"/>
    <w:rsid w:val="00781BA2"/>
    <w:rsid w:val="00787B41"/>
    <w:rsid w:val="00797BA6"/>
    <w:rsid w:val="007C01EA"/>
    <w:rsid w:val="0080092C"/>
    <w:rsid w:val="00885B74"/>
    <w:rsid w:val="008E1D3C"/>
    <w:rsid w:val="009044B1"/>
    <w:rsid w:val="00910EF7"/>
    <w:rsid w:val="00913B3D"/>
    <w:rsid w:val="0094340E"/>
    <w:rsid w:val="0097403F"/>
    <w:rsid w:val="00997F4C"/>
    <w:rsid w:val="009B21C6"/>
    <w:rsid w:val="009C0024"/>
    <w:rsid w:val="009E7CD3"/>
    <w:rsid w:val="00A221DA"/>
    <w:rsid w:val="00A427EB"/>
    <w:rsid w:val="00A82E08"/>
    <w:rsid w:val="00AA344E"/>
    <w:rsid w:val="00AB21C6"/>
    <w:rsid w:val="00AE04DF"/>
    <w:rsid w:val="00B07D98"/>
    <w:rsid w:val="00B30B27"/>
    <w:rsid w:val="00B33546"/>
    <w:rsid w:val="00B43B35"/>
    <w:rsid w:val="00B46866"/>
    <w:rsid w:val="00B47948"/>
    <w:rsid w:val="00B67711"/>
    <w:rsid w:val="00BB1CE6"/>
    <w:rsid w:val="00BC20A6"/>
    <w:rsid w:val="00BC53F8"/>
    <w:rsid w:val="00C728D7"/>
    <w:rsid w:val="00CA46E7"/>
    <w:rsid w:val="00CF27C2"/>
    <w:rsid w:val="00CF731B"/>
    <w:rsid w:val="00D5178E"/>
    <w:rsid w:val="00D57091"/>
    <w:rsid w:val="00D742C6"/>
    <w:rsid w:val="00D878FA"/>
    <w:rsid w:val="00D87E94"/>
    <w:rsid w:val="00DA769E"/>
    <w:rsid w:val="00DC5D69"/>
    <w:rsid w:val="00E02685"/>
    <w:rsid w:val="00E02759"/>
    <w:rsid w:val="00E15843"/>
    <w:rsid w:val="00EB6FC9"/>
    <w:rsid w:val="00EC065E"/>
    <w:rsid w:val="00EC4FFA"/>
    <w:rsid w:val="00ED49B0"/>
    <w:rsid w:val="00F054D8"/>
    <w:rsid w:val="00F178A8"/>
    <w:rsid w:val="00F21BB0"/>
    <w:rsid w:val="00F24BF8"/>
    <w:rsid w:val="00F7470F"/>
    <w:rsid w:val="00F9160B"/>
    <w:rsid w:val="00F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6C395-471A-417F-9292-74685E16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styleId="af2">
    <w:name w:val="Normal (Web)"/>
    <w:basedOn w:val="a"/>
    <w:uiPriority w:val="99"/>
    <w:unhideWhenUsed/>
    <w:rsid w:val="003D2706"/>
    <w:pPr>
      <w:overflowPunct/>
      <w:autoSpaceDE/>
      <w:autoSpaceDN/>
      <w:adjustRightInd/>
      <w:spacing w:before="100" w:beforeAutospacing="1" w:after="100" w:afterAutospacing="1" w:line="240" w:lineRule="auto"/>
      <w:ind w:left="0" w:firstLine="0"/>
      <w:jc w:val="left"/>
      <w:textAlignment w:val="auto"/>
    </w:pPr>
    <w:rPr>
      <w:rFonts w:ascii="Times New Roman" w:eastAsiaTheme="minorHAnsi" w:hAnsi="Times New Roman"/>
      <w:sz w:val="24"/>
      <w:szCs w:val="24"/>
    </w:rPr>
  </w:style>
  <w:style w:type="paragraph" w:styleId="af3">
    <w:name w:val="List Paragraph"/>
    <w:basedOn w:val="a"/>
    <w:uiPriority w:val="34"/>
    <w:qFormat/>
    <w:rsid w:val="003D2706"/>
    <w:pPr>
      <w:overflowPunct/>
      <w:autoSpaceDE/>
      <w:autoSpaceDN/>
      <w:adjustRightInd/>
      <w:spacing w:line="240" w:lineRule="auto"/>
      <w:ind w:left="720" w:firstLine="0"/>
      <w:contextualSpacing/>
      <w:jc w:val="left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E4E61E755241178E2A034BD5CFC8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4BDAC5-D457-44C1-928D-4AF5490BA82A}"/>
      </w:docPartPr>
      <w:docPartBody>
        <w:p w:rsidR="00E1463E" w:rsidRDefault="00E1463E">
          <w:pPr>
            <w:pStyle w:val="DEE4E61E755241178E2A034BD5CFC8BD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3E"/>
    <w:rsid w:val="00226DFF"/>
    <w:rsid w:val="003C34D0"/>
    <w:rsid w:val="00650A18"/>
    <w:rsid w:val="006754A6"/>
    <w:rsid w:val="00CC49CD"/>
    <w:rsid w:val="00E1463E"/>
    <w:rsid w:val="00EC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EE4E61E755241178E2A034BD5CFC8BD">
    <w:name w:val="DEE4E61E755241178E2A034BD5CFC8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33</TotalTime>
  <Pages>11</Pages>
  <Words>3040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20329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Власенкова+</dc:creator>
  <cp:keywords/>
  <dc:description>SA04.06.2026 QA10.06.2026ZO15.06.2026AM16.06.2026 AM16.06.2026 AM16.06.2026 SA16.06.2026 SA16.06.2026 DE29.06.2026 EQ29.06.2026 AM30.06.2026 AM30.06.2026 AM30.06.2026 AM30.06.2026 SA30.06.2026 QA30.06.2026 QA30.06.2026 QA30.06.2026 QA30.06.2026 </dc:description>
  <cp:lastModifiedBy>Кучерова О.М.</cp:lastModifiedBy>
  <cp:revision>19</cp:revision>
  <cp:lastPrinted>2026-07-02T07:53:00Z</cp:lastPrinted>
  <dcterms:created xsi:type="dcterms:W3CDTF">2026-06-16T10:48:00Z</dcterms:created>
  <dcterms:modified xsi:type="dcterms:W3CDTF">2026-07-02T08:45:00Z</dcterms:modified>
</cp:coreProperties>
</file>