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DE63C49284C94D939B377728B066EFDB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A00D17" w:rsidP="00CE23D1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fldChar w:fldCharType="begin"/>
            </w:r>
            <w:r>
              <w:rPr>
                <w:b/>
                <w:color w:val="000000" w:themeColor="text1"/>
                <w:sz w:val="22"/>
                <w:lang w:val="en-US"/>
              </w:rPr>
              <w:instrText xml:space="preserve"> MERGEFIELD гербс </w:instrText>
            </w:r>
            <w:r>
              <w:rPr>
                <w:b/>
                <w:color w:val="000000" w:themeColor="text1"/>
                <w:sz w:val="22"/>
                <w:lang w:val="en-US"/>
              </w:rPr>
              <w:fldChar w:fldCharType="separate"/>
            </w:r>
            <w:r>
              <w:rPr>
                <w:b/>
                <w:color w:val="000000" w:themeColor="text1"/>
                <w:sz w:val="22"/>
                <w:lang w:val="en-US"/>
              </w:rPr>
              <w:fldChar w:fldCharType="end"/>
            </w:r>
          </w:p>
        </w:tc>
        <w:tc>
          <w:tcPr>
            <w:tcW w:w="4253" w:type="dxa"/>
          </w:tcPr>
          <w:p w:rsidR="00545F85" w:rsidRPr="00E830C5" w:rsidRDefault="00545F85" w:rsidP="00E830C5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DE63C49284C94D939B377728B066EFDB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E830C5" w:rsidRDefault="00E830C5" w:rsidP="00E830C5">
      <w:pPr>
        <w:pStyle w:val="1"/>
      </w:pPr>
      <w:r>
        <w:t>О внесении изменени</w:t>
      </w:r>
      <w:r w:rsidR="009A6019">
        <w:t>й</w:t>
      </w:r>
      <w:r>
        <w:t xml:space="preserve"> в состав Комиссии Совета Федерации</w:t>
      </w:r>
    </w:p>
    <w:p w:rsidR="00E830C5" w:rsidRDefault="00E830C5" w:rsidP="00E830C5">
      <w:pPr>
        <w:pStyle w:val="2"/>
      </w:pPr>
      <w:r>
        <w:t xml:space="preserve">по защите государственного суверенитета и предотвращению </w:t>
      </w:r>
    </w:p>
    <w:p w:rsidR="00E830C5" w:rsidRDefault="00E830C5" w:rsidP="00E830C5">
      <w:pPr>
        <w:pStyle w:val="2"/>
      </w:pPr>
      <w:r>
        <w:t>вмешательства во внутренние дела Российской Федерации</w:t>
      </w:r>
    </w:p>
    <w:p w:rsidR="00E830C5" w:rsidRDefault="00E830C5" w:rsidP="00E830C5">
      <w:pPr>
        <w:pStyle w:val="2"/>
      </w:pPr>
    </w:p>
    <w:p w:rsidR="00E830C5" w:rsidRDefault="00E830C5" w:rsidP="00E830C5">
      <w:pPr>
        <w:pStyle w:val="2"/>
        <w:rPr>
          <w:szCs w:val="28"/>
        </w:rPr>
      </w:pPr>
    </w:p>
    <w:p w:rsidR="00E830C5" w:rsidRDefault="00E830C5" w:rsidP="00E830C5">
      <w:pPr>
        <w:pStyle w:val="2"/>
        <w:rPr>
          <w:szCs w:val="28"/>
        </w:rPr>
      </w:pPr>
    </w:p>
    <w:p w:rsidR="00E830C5" w:rsidRDefault="00E830C5"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E830C5" w:rsidRDefault="00E830C5" w:rsidP="00A00D17">
      <w:pPr>
        <w:spacing w:line="240" w:lineRule="auto"/>
      </w:pPr>
    </w:p>
    <w:p w:rsidR="00E830C5" w:rsidRDefault="00E830C5" w:rsidP="00E830C5">
      <w:pPr>
        <w:rPr>
          <w:rFonts w:eastAsiaTheme="minorHAnsi"/>
        </w:rPr>
      </w:pPr>
      <w:r>
        <w:rPr>
          <w:rFonts w:eastAsiaTheme="minorHAnsi"/>
        </w:rPr>
        <w:t xml:space="preserve">1. Внести в состав Комиссии Совета Федерации по защите государственного суверенитета и предотвращению вмешательства во внутренние дела Российской Федерации (постановление </w:t>
      </w:r>
      <w:r w:rsidR="002D6013">
        <w:rPr>
          <w:rFonts w:eastAsiaTheme="minorHAnsi"/>
        </w:rPr>
        <w:br/>
      </w:r>
      <w:r>
        <w:rPr>
          <w:rFonts w:eastAsiaTheme="minorHAnsi"/>
        </w:rPr>
        <w:t xml:space="preserve">Совета Федерации Федерального Собрания Российской </w:t>
      </w:r>
      <w:r w:rsidR="002D6013">
        <w:rPr>
          <w:rFonts w:eastAsiaTheme="minorHAnsi"/>
        </w:rPr>
        <w:br/>
      </w:r>
      <w:r>
        <w:rPr>
          <w:rFonts w:eastAsiaTheme="minorHAnsi"/>
        </w:rPr>
        <w:t>Федерации от 1</w:t>
      </w:r>
      <w:r w:rsidR="002D6013">
        <w:rPr>
          <w:rFonts w:eastAsiaTheme="minorHAnsi"/>
          <w:lang w:val="en-US"/>
        </w:rPr>
        <w:t> </w:t>
      </w:r>
      <w:r>
        <w:rPr>
          <w:rFonts w:eastAsiaTheme="minorHAnsi"/>
        </w:rPr>
        <w:t>февраля 2023 года № 26-СФ "О преобразовании Временной комиссии Совета Федерации по защите государственного суверенитета и предотвращению вмешательства во внутренние дела Российской Федерации") изменени</w:t>
      </w:r>
      <w:r w:rsidR="009A6019">
        <w:rPr>
          <w:rFonts w:eastAsiaTheme="minorHAnsi"/>
        </w:rPr>
        <w:t>я</w:t>
      </w:r>
      <w:r>
        <w:rPr>
          <w:rFonts w:eastAsiaTheme="minorHAnsi"/>
        </w:rPr>
        <w:t xml:space="preserve">, включив </w:t>
      </w:r>
      <w:r w:rsidR="002D6013">
        <w:rPr>
          <w:rFonts w:eastAsiaTheme="minorHAnsi"/>
        </w:rPr>
        <w:br/>
      </w:r>
      <w:bookmarkStart w:id="0" w:name="_GoBack"/>
      <w:bookmarkEnd w:id="0"/>
      <w:r>
        <w:rPr>
          <w:rFonts w:eastAsiaTheme="minorHAnsi"/>
        </w:rPr>
        <w:t xml:space="preserve">в него сенаторов Российской Федерации Карякина Сергея Александровича и </w:t>
      </w:r>
      <w:proofErr w:type="spellStart"/>
      <w:r>
        <w:rPr>
          <w:rFonts w:eastAsiaTheme="minorHAnsi"/>
        </w:rPr>
        <w:t>Никонорову</w:t>
      </w:r>
      <w:proofErr w:type="spellEnd"/>
      <w:r>
        <w:rPr>
          <w:rFonts w:eastAsiaTheme="minorHAnsi"/>
        </w:rPr>
        <w:t xml:space="preserve"> Наталью Юрьевну.</w:t>
      </w:r>
    </w:p>
    <w:p w:rsidR="00E830C5" w:rsidRDefault="00E830C5" w:rsidP="00E830C5">
      <w:pPr>
        <w:rPr>
          <w:rFonts w:eastAsiaTheme="minorHAnsi"/>
        </w:rPr>
      </w:pPr>
      <w:r>
        <w:rPr>
          <w:rFonts w:eastAsiaTheme="minorHAnsi"/>
        </w:rPr>
        <w:t>2. Настоящее постановление вступает в силу со дня его принятия.</w:t>
      </w:r>
    </w:p>
    <w:p w:rsidR="00E830C5" w:rsidRDefault="00E830C5" w:rsidP="00A00D17">
      <w:pPr>
        <w:spacing w:line="240" w:lineRule="auto"/>
        <w:rPr>
          <w:rFonts w:eastAsiaTheme="minorHAnsi"/>
        </w:rPr>
      </w:pPr>
    </w:p>
    <w:p w:rsidR="00576BF3" w:rsidRDefault="00576BF3" w:rsidP="00A00D17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E830C5">
      <w:pPr>
        <w:pStyle w:val="ac"/>
      </w:pPr>
    </w:p>
    <w:p w:rsidR="00A00D17" w:rsidRDefault="00A00D17" w:rsidP="00A00D17">
      <w:pPr>
        <w:pStyle w:val="af"/>
      </w:pPr>
      <w:r>
        <w:t>Москва</w:t>
      </w:r>
    </w:p>
    <w:p w:rsidR="00A00D17" w:rsidRDefault="00A00D17" w:rsidP="00A00D17">
      <w:pPr>
        <w:pStyle w:val="af"/>
      </w:pPr>
      <w:r>
        <w:t>3 июня 2026 года</w:t>
      </w:r>
    </w:p>
    <w:p w:rsidR="00A00D17" w:rsidRPr="00A00D17" w:rsidRDefault="00A00D17" w:rsidP="00A00D17">
      <w:pPr>
        <w:pStyle w:val="af"/>
      </w:pPr>
      <w:r>
        <w:t>№ 221-СФ</w:t>
      </w:r>
    </w:p>
    <w:sectPr w:rsidR="00A00D17" w:rsidRPr="00A00D17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81" w:rsidRDefault="00EB3E81">
      <w:pPr>
        <w:spacing w:line="240" w:lineRule="auto"/>
      </w:pPr>
      <w:r>
        <w:separator/>
      </w:r>
    </w:p>
  </w:endnote>
  <w:endnote w:type="continuationSeparator" w:id="0">
    <w:p w:rsidR="00EB3E81" w:rsidRDefault="00EB3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887874E-AE29-4BF0-9EE2-74E37F2346A0}"/>
    <w:embedBold r:id="rId2" w:fontKey="{331B8412-BB5F-44EF-AD43-CC7401D95F7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6A8FE407-2A5E-4121-8176-B75C49E050B4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576BF3" w:rsidRDefault="00576BF3" w:rsidP="00576BF3">
    <w:pPr>
      <w:pStyle w:val="a9"/>
    </w:pPr>
    <w:r>
      <w:rPr>
        <w:noProof/>
      </w:rPr>
      <w:fldChar w:fldCharType="begin" w:fldLock="1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F34EF">
      <w:rPr>
        <w:noProof/>
      </w:rPr>
      <w:t>sa11129.docx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 w:fldLock="1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F34EF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576BF3" w:rsidRDefault="00576BF3" w:rsidP="00576BF3">
    <w:pPr>
      <w:pStyle w:val="a9"/>
    </w:pPr>
    <w:r>
      <w:rPr>
        <w:noProof/>
      </w:rPr>
      <w:fldChar w:fldCharType="begin" w:fldLock="1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F34EF">
      <w:rPr>
        <w:noProof/>
      </w:rPr>
      <w:t>sa11129.docx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 w:fldLock="1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F34EF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81" w:rsidRDefault="00EB3E81">
      <w:pPr>
        <w:spacing w:line="240" w:lineRule="auto"/>
      </w:pPr>
      <w:r>
        <w:separator/>
      </w:r>
    </w:p>
  </w:footnote>
  <w:footnote w:type="continuationSeparator" w:id="0">
    <w:p w:rsidR="00EB3E81" w:rsidRDefault="00EB3E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F34EF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81"/>
    <w:rsid w:val="000D3F67"/>
    <w:rsid w:val="001057BD"/>
    <w:rsid w:val="00205211"/>
    <w:rsid w:val="002623D0"/>
    <w:rsid w:val="002A1E3D"/>
    <w:rsid w:val="002B772D"/>
    <w:rsid w:val="002D6013"/>
    <w:rsid w:val="003114B9"/>
    <w:rsid w:val="003273F1"/>
    <w:rsid w:val="0035125E"/>
    <w:rsid w:val="00423816"/>
    <w:rsid w:val="004A68AB"/>
    <w:rsid w:val="00505068"/>
    <w:rsid w:val="00545F85"/>
    <w:rsid w:val="00576BF3"/>
    <w:rsid w:val="005B2AEB"/>
    <w:rsid w:val="00720496"/>
    <w:rsid w:val="00723EF8"/>
    <w:rsid w:val="0078182C"/>
    <w:rsid w:val="00885B74"/>
    <w:rsid w:val="00910EF7"/>
    <w:rsid w:val="00997F4C"/>
    <w:rsid w:val="009A6019"/>
    <w:rsid w:val="00A00D17"/>
    <w:rsid w:val="00A82E08"/>
    <w:rsid w:val="00AA344E"/>
    <w:rsid w:val="00B07D98"/>
    <w:rsid w:val="00B30B27"/>
    <w:rsid w:val="00B33546"/>
    <w:rsid w:val="00B67711"/>
    <w:rsid w:val="00BF34EF"/>
    <w:rsid w:val="00CE23D1"/>
    <w:rsid w:val="00CF27C2"/>
    <w:rsid w:val="00CF731B"/>
    <w:rsid w:val="00DA769E"/>
    <w:rsid w:val="00E02685"/>
    <w:rsid w:val="00E830C5"/>
    <w:rsid w:val="00EB3E81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A3FE5-4596-4F83-BCF4-D5F6450F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semiHidden/>
    <w:unhideWhenUsed/>
    <w:rsid w:val="00E830C5"/>
    <w:pPr>
      <w:overflowPunct/>
      <w:autoSpaceDE/>
      <w:autoSpaceDN/>
      <w:adjustRightInd/>
      <w:snapToGrid w:val="0"/>
      <w:spacing w:line="360" w:lineRule="auto"/>
      <w:ind w:left="0" w:firstLine="709"/>
      <w:textAlignment w:val="auto"/>
    </w:pPr>
    <w:rPr>
      <w:rFonts w:ascii="Arial" w:hAnsi="Arial"/>
      <w:b/>
      <w:bCs/>
      <w:szCs w:val="12"/>
    </w:rPr>
  </w:style>
  <w:style w:type="character" w:customStyle="1" w:styleId="af3">
    <w:name w:val="Основной текст с отступом Знак"/>
    <w:basedOn w:val="a0"/>
    <w:link w:val="af2"/>
    <w:semiHidden/>
    <w:rsid w:val="00E830C5"/>
    <w:rPr>
      <w:rFonts w:ascii="Arial" w:hAnsi="Arial" w:cs="Times New Roman"/>
      <w:b/>
      <w:bCs/>
      <w:sz w:val="28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63C49284C94D939B377728B066E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5AB13-6606-4850-BC19-FE2EB3FEA6FA}"/>
      </w:docPartPr>
      <w:docPartBody>
        <w:p w:rsidR="00777B43" w:rsidRDefault="00777B43">
          <w:pPr>
            <w:pStyle w:val="DE63C49284C94D939B377728B066EFDB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43"/>
    <w:rsid w:val="007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E63C49284C94D939B377728B066EFDB">
    <w:name w:val="DE63C49284C94D939B377728B066E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международным делам</dc:subject>
  <dc:creator>Заказчик - Левченко+</dc:creator>
  <cp:keywords/>
  <dc:description>SA25.05.2026 QA27.05.2026 QA29.05.2026 SA02.06.2026</dc:description>
  <cp:lastModifiedBy>Алексеева Е.С.</cp:lastModifiedBy>
  <cp:revision>3</cp:revision>
  <cp:lastPrinted>2026-06-02T12:59:00Z</cp:lastPrinted>
  <dcterms:created xsi:type="dcterms:W3CDTF">2026-06-03T09:10:00Z</dcterms:created>
  <dcterms:modified xsi:type="dcterms:W3CDTF">2026-06-03T09:12:00Z</dcterms:modified>
</cp:coreProperties>
</file>